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99415" w14:textId="55F18BE9" w:rsidR="00E462B6" w:rsidRPr="008D4FAC" w:rsidRDefault="00B22757" w:rsidP="007E09D7">
      <w:pPr>
        <w:spacing w:after="0"/>
        <w:rPr>
          <w:rFonts w:eastAsia="MS Mincho"/>
          <w:b/>
          <w:sz w:val="28"/>
          <w:lang w:eastAsia="ja-JP"/>
        </w:rPr>
      </w:pPr>
      <w:r w:rsidRPr="008D4FAC">
        <w:rPr>
          <w:b/>
          <w:sz w:val="28"/>
        </w:rPr>
        <w:t>3GPP TSG RAN WG1 Meeting #92bis</w:t>
      </w:r>
      <w:r w:rsidRPr="008D4FAC">
        <w:rPr>
          <w:b/>
          <w:sz w:val="28"/>
        </w:rPr>
        <w:tab/>
      </w:r>
      <w:r w:rsidR="00E462B6" w:rsidRPr="008D4FAC">
        <w:rPr>
          <w:b/>
          <w:sz w:val="28"/>
        </w:rPr>
        <w:t xml:space="preserve">       </w:t>
      </w:r>
      <w:r w:rsidR="008D4FAC" w:rsidRPr="008D4FAC">
        <w:rPr>
          <w:b/>
          <w:sz w:val="28"/>
        </w:rPr>
        <w:tab/>
      </w:r>
      <w:r w:rsidR="008D4FAC" w:rsidRPr="008D4FAC">
        <w:rPr>
          <w:b/>
          <w:sz w:val="28"/>
        </w:rPr>
        <w:tab/>
      </w:r>
      <w:r w:rsidR="008D4FAC" w:rsidRPr="008D4FAC">
        <w:rPr>
          <w:b/>
          <w:sz w:val="28"/>
        </w:rPr>
        <w:tab/>
      </w:r>
      <w:r w:rsidR="008D4FAC" w:rsidRPr="008D4FAC">
        <w:rPr>
          <w:b/>
          <w:sz w:val="28"/>
        </w:rPr>
        <w:tab/>
      </w:r>
      <w:r w:rsidR="008D4FAC">
        <w:rPr>
          <w:b/>
          <w:sz w:val="28"/>
        </w:rPr>
        <w:t xml:space="preserve">     </w:t>
      </w:r>
      <w:r w:rsidR="00462379" w:rsidRPr="00462379">
        <w:rPr>
          <w:b/>
          <w:sz w:val="28"/>
        </w:rPr>
        <w:t>R1-1804630</w:t>
      </w:r>
    </w:p>
    <w:p w14:paraId="02C92C03" w14:textId="1AFF3B7B" w:rsidR="00B22757" w:rsidRDefault="00B22757" w:rsidP="00E462B6">
      <w:pPr>
        <w:tabs>
          <w:tab w:val="center" w:pos="4536"/>
          <w:tab w:val="right" w:pos="8280"/>
          <w:tab w:val="right" w:pos="9639"/>
        </w:tabs>
        <w:ind w:right="2"/>
        <w:rPr>
          <w:rFonts w:eastAsia="MS Mincho" w:cs="Arial"/>
          <w:b/>
          <w:bCs/>
          <w:sz w:val="28"/>
          <w:lang w:eastAsia="ja-JP"/>
        </w:rPr>
      </w:pPr>
      <w:r>
        <w:rPr>
          <w:rFonts w:eastAsia="MS Mincho" w:cs="Arial"/>
          <w:b/>
          <w:bCs/>
          <w:sz w:val="28"/>
          <w:lang w:eastAsia="ja-JP"/>
        </w:rPr>
        <w:t>Sanya, China, April 16</w:t>
      </w:r>
      <w:r>
        <w:rPr>
          <w:rFonts w:eastAsia="MS Mincho" w:cs="Arial"/>
          <w:b/>
          <w:bCs/>
          <w:sz w:val="28"/>
          <w:vertAlign w:val="superscript"/>
          <w:lang w:eastAsia="ja-JP"/>
        </w:rPr>
        <w:t>th</w:t>
      </w:r>
      <w:r>
        <w:rPr>
          <w:rFonts w:eastAsia="MS Mincho" w:cs="Arial"/>
          <w:b/>
          <w:bCs/>
          <w:sz w:val="28"/>
          <w:lang w:eastAsia="ja-JP"/>
        </w:rPr>
        <w:t xml:space="preserve"> – 20</w:t>
      </w:r>
      <w:r>
        <w:rPr>
          <w:rFonts w:eastAsia="MS Mincho" w:cs="Arial"/>
          <w:b/>
          <w:bCs/>
          <w:sz w:val="28"/>
          <w:vertAlign w:val="superscript"/>
          <w:lang w:eastAsia="ja-JP"/>
        </w:rPr>
        <w:t>th</w:t>
      </w:r>
      <w:r>
        <w:rPr>
          <w:rFonts w:eastAsia="MS Mincho" w:cs="Arial"/>
          <w:b/>
          <w:bCs/>
          <w:sz w:val="28"/>
          <w:lang w:eastAsia="ja-JP"/>
        </w:rPr>
        <w:t xml:space="preserve">, 2018 </w:t>
      </w:r>
    </w:p>
    <w:p w14:paraId="4339CB46" w14:textId="77777777" w:rsidR="00E462B6" w:rsidRDefault="00E462B6" w:rsidP="008F2DE1">
      <w:pPr>
        <w:pStyle w:val="3GPPHeader"/>
        <w:spacing w:after="0"/>
        <w:rPr>
          <w:sz w:val="22"/>
          <w:szCs w:val="22"/>
        </w:rPr>
      </w:pPr>
    </w:p>
    <w:p w14:paraId="606D9DC9" w14:textId="2893A551" w:rsidR="00E90E49" w:rsidRPr="00942ECC" w:rsidRDefault="00E90E49" w:rsidP="008F2DE1">
      <w:pPr>
        <w:pStyle w:val="3GPPHeader"/>
        <w:spacing w:after="0"/>
        <w:rPr>
          <w:sz w:val="22"/>
          <w:szCs w:val="22"/>
          <w:lang w:val="en-US"/>
        </w:rPr>
      </w:pPr>
      <w:r w:rsidRPr="00942ECC">
        <w:rPr>
          <w:sz w:val="22"/>
          <w:szCs w:val="22"/>
          <w:lang w:val="en-US"/>
        </w:rPr>
        <w:t>Agenda Item:</w:t>
      </w:r>
      <w:r w:rsidRPr="00942ECC">
        <w:rPr>
          <w:sz w:val="22"/>
          <w:szCs w:val="22"/>
          <w:lang w:val="en-US"/>
        </w:rPr>
        <w:tab/>
      </w:r>
      <w:r w:rsidR="00FA6DF7" w:rsidRPr="007E09D7">
        <w:t>6.2.</w:t>
      </w:r>
      <w:r w:rsidR="00310372" w:rsidRPr="007E09D7">
        <w:t>5</w:t>
      </w:r>
      <w:r w:rsidR="00FA6DF7" w:rsidRPr="007E09D7">
        <w:t>.1.2</w:t>
      </w:r>
    </w:p>
    <w:p w14:paraId="684B06A7" w14:textId="77777777" w:rsidR="00E90E49" w:rsidRPr="00CE0424" w:rsidRDefault="003D3C45" w:rsidP="008F2DE1">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0B528C14" w:rsidR="00E90E49" w:rsidRPr="00CE0424" w:rsidRDefault="003D3C45" w:rsidP="008F2DE1">
      <w:pPr>
        <w:pStyle w:val="3GPPHeader"/>
        <w:spacing w:after="0"/>
        <w:ind w:left="1701" w:hanging="1701"/>
        <w:rPr>
          <w:sz w:val="22"/>
          <w:szCs w:val="22"/>
        </w:rPr>
      </w:pPr>
      <w:r>
        <w:rPr>
          <w:sz w:val="22"/>
          <w:szCs w:val="22"/>
        </w:rPr>
        <w:t>Title:</w:t>
      </w:r>
      <w:r w:rsidR="006B5B0F">
        <w:rPr>
          <w:sz w:val="22"/>
          <w:szCs w:val="22"/>
        </w:rPr>
        <w:tab/>
      </w:r>
      <w:r w:rsidR="009F63EF">
        <w:rPr>
          <w:sz w:val="22"/>
          <w:szCs w:val="22"/>
        </w:rPr>
        <w:t xml:space="preserve">On </w:t>
      </w:r>
      <w:r w:rsidR="00C120FC">
        <w:rPr>
          <w:sz w:val="22"/>
          <w:szCs w:val="22"/>
        </w:rPr>
        <w:t>Synchronization Aspects for PC5 CA</w:t>
      </w:r>
    </w:p>
    <w:p w14:paraId="59D6E79C" w14:textId="77777777" w:rsidR="00E90E49" w:rsidRPr="00CE0424" w:rsidRDefault="00E90E49" w:rsidP="008F2DE1">
      <w:pPr>
        <w:pStyle w:val="3GPPHeader"/>
        <w:spacing w:after="0"/>
        <w:rPr>
          <w:sz w:val="22"/>
          <w:szCs w:val="22"/>
        </w:rPr>
      </w:pPr>
      <w:r w:rsidRPr="00CE0424">
        <w:rPr>
          <w:sz w:val="22"/>
          <w:szCs w:val="22"/>
        </w:rPr>
        <w:t>Document for:</w:t>
      </w:r>
      <w:r w:rsidRPr="00CE0424">
        <w:rPr>
          <w:sz w:val="22"/>
          <w:szCs w:val="22"/>
        </w:rPr>
        <w:tab/>
      </w:r>
      <w:r w:rsidRPr="00B466DC">
        <w:rPr>
          <w:sz w:val="22"/>
          <w:szCs w:val="22"/>
        </w:rPr>
        <w:t>Discussion, Decision</w:t>
      </w:r>
    </w:p>
    <w:p w14:paraId="65062EEC" w14:textId="77777777" w:rsidR="00E90E49" w:rsidRPr="00CE0424" w:rsidRDefault="00E90E49" w:rsidP="00CE0424">
      <w:pPr>
        <w:pStyle w:val="Heading1"/>
      </w:pPr>
      <w:r w:rsidRPr="00CE0424">
        <w:t>Introduction</w:t>
      </w:r>
    </w:p>
    <w:p w14:paraId="037AD009" w14:textId="708FE29A" w:rsidR="00BA315E" w:rsidRDefault="00A76C68" w:rsidP="00A43C14">
      <w:pPr>
        <w:pStyle w:val="BodyText"/>
        <w:spacing w:before="120"/>
      </w:pPr>
      <w:r>
        <w:t>In RAN1</w:t>
      </w:r>
      <w:r w:rsidR="00BA315E">
        <w:t>#</w:t>
      </w:r>
      <w:r w:rsidR="002338CF">
        <w:t>9</w:t>
      </w:r>
      <w:r w:rsidR="00216C19">
        <w:t>2</w:t>
      </w:r>
      <w:r>
        <w:t xml:space="preserve">, the following </w:t>
      </w:r>
      <w:r w:rsidR="002338CF">
        <w:t>was agreed</w:t>
      </w:r>
      <w:r>
        <w:t>:</w:t>
      </w:r>
    </w:p>
    <w:tbl>
      <w:tblPr>
        <w:tblStyle w:val="TableGrid"/>
        <w:tblW w:w="0" w:type="auto"/>
        <w:tblLook w:val="04A0" w:firstRow="1" w:lastRow="0" w:firstColumn="1" w:lastColumn="0" w:noHBand="0" w:noVBand="1"/>
      </w:tblPr>
      <w:tblGrid>
        <w:gridCol w:w="9629"/>
      </w:tblGrid>
      <w:tr w:rsidR="0028318F" w14:paraId="38CC9993" w14:textId="77777777" w:rsidTr="0028318F">
        <w:tc>
          <w:tcPr>
            <w:tcW w:w="9629" w:type="dxa"/>
          </w:tcPr>
          <w:p w14:paraId="3C505A5B" w14:textId="77777777" w:rsidR="00216C19" w:rsidRPr="00AA6505" w:rsidRDefault="00216C19" w:rsidP="00216C19">
            <w:pPr>
              <w:rPr>
                <w:b/>
                <w:highlight w:val="green"/>
                <w:u w:val="single"/>
                <w:lang w:eastAsia="x-none"/>
              </w:rPr>
            </w:pPr>
            <w:r w:rsidRPr="00AA6505">
              <w:rPr>
                <w:b/>
                <w:highlight w:val="green"/>
                <w:u w:val="single"/>
                <w:lang w:eastAsia="x-none"/>
              </w:rPr>
              <w:t>Agreement:</w:t>
            </w:r>
          </w:p>
          <w:p w14:paraId="71A717E4" w14:textId="77777777" w:rsidR="00216C19" w:rsidRDefault="00216C19" w:rsidP="00216C19">
            <w:pPr>
              <w:numPr>
                <w:ilvl w:val="0"/>
                <w:numId w:val="35"/>
              </w:numPr>
              <w:overflowPunct/>
              <w:autoSpaceDE/>
              <w:autoSpaceDN/>
              <w:adjustRightInd/>
              <w:spacing w:after="0"/>
              <w:jc w:val="left"/>
              <w:textAlignment w:val="auto"/>
              <w:rPr>
                <w:lang w:eastAsia="x-none"/>
              </w:rPr>
            </w:pPr>
            <w:r w:rsidRPr="00AD466D">
              <w:rPr>
                <w:lang w:eastAsia="x-none"/>
              </w:rPr>
              <w:t>If two or more potential synchr</w:t>
            </w:r>
            <w:r>
              <w:rPr>
                <w:lang w:eastAsia="x-none"/>
              </w:rPr>
              <w:t xml:space="preserve">onization carriers are present </w:t>
            </w:r>
            <w:r w:rsidRPr="00AD466D">
              <w:rPr>
                <w:lang w:eastAsia="x-none"/>
              </w:rPr>
              <w:t>in Set-B</w:t>
            </w:r>
            <w:r>
              <w:rPr>
                <w:lang w:eastAsia="x-none"/>
              </w:rPr>
              <w:t>, s</w:t>
            </w:r>
            <w:r w:rsidRPr="00AD466D">
              <w:rPr>
                <w:lang w:eastAsia="x-none"/>
              </w:rPr>
              <w:t>elect the carrier in Set-B with highest Rel-14 priority sync reference. Carrier is not reselected unless synchronization is lost. Rel-14 procedure applies to the selected carrier.</w:t>
            </w:r>
          </w:p>
          <w:p w14:paraId="324C86EE" w14:textId="77777777" w:rsidR="00216C19" w:rsidRDefault="00216C19" w:rsidP="00216C19">
            <w:pPr>
              <w:numPr>
                <w:ilvl w:val="0"/>
                <w:numId w:val="35"/>
              </w:numPr>
              <w:overflowPunct/>
              <w:autoSpaceDE/>
              <w:autoSpaceDN/>
              <w:adjustRightInd/>
              <w:spacing w:after="0"/>
              <w:jc w:val="left"/>
              <w:textAlignment w:val="auto"/>
              <w:rPr>
                <w:lang w:eastAsia="x-none"/>
              </w:rPr>
            </w:pPr>
            <w:r>
              <w:rPr>
                <w:lang w:eastAsia="x-none"/>
              </w:rPr>
              <w:t xml:space="preserve">A UE may assume that the configuration for sync reference priority is the same across all the aggregated carriers in CA. </w:t>
            </w:r>
          </w:p>
          <w:p w14:paraId="3CE1311A" w14:textId="77777777" w:rsidR="00216C19" w:rsidRDefault="00216C19" w:rsidP="00216C19">
            <w:pPr>
              <w:rPr>
                <w:lang w:eastAsia="x-none"/>
              </w:rPr>
            </w:pPr>
          </w:p>
          <w:p w14:paraId="262587B7" w14:textId="77777777" w:rsidR="00216C19" w:rsidRPr="00AA6505" w:rsidRDefault="00216C19" w:rsidP="00216C19">
            <w:pPr>
              <w:rPr>
                <w:b/>
                <w:highlight w:val="green"/>
                <w:u w:val="single"/>
                <w:lang w:eastAsia="x-none"/>
              </w:rPr>
            </w:pPr>
            <w:r w:rsidRPr="00AA6505">
              <w:rPr>
                <w:b/>
                <w:highlight w:val="green"/>
                <w:u w:val="single"/>
                <w:lang w:eastAsia="x-none"/>
              </w:rPr>
              <w:t xml:space="preserve">Agreement: </w:t>
            </w:r>
          </w:p>
          <w:p w14:paraId="08D44615" w14:textId="77777777" w:rsidR="00216C19" w:rsidRPr="00AA6505" w:rsidRDefault="00216C19" w:rsidP="00216C19">
            <w:pPr>
              <w:numPr>
                <w:ilvl w:val="0"/>
                <w:numId w:val="36"/>
              </w:numPr>
              <w:overflowPunct/>
              <w:autoSpaceDE/>
              <w:autoSpaceDN/>
              <w:adjustRightInd/>
              <w:spacing w:after="0"/>
              <w:jc w:val="left"/>
              <w:textAlignment w:val="auto"/>
              <w:rPr>
                <w:lang w:eastAsia="x-none"/>
              </w:rPr>
            </w:pPr>
            <w:r w:rsidRPr="00AA6505">
              <w:rPr>
                <w:lang w:val="en-US" w:eastAsia="x-none"/>
              </w:rPr>
              <w:t>It is RAN1 understanding that the DFN value is common to all aggregated carriers.</w:t>
            </w:r>
          </w:p>
          <w:p w14:paraId="52915BDC" w14:textId="77777777" w:rsidR="00216C19" w:rsidRPr="00AA6505" w:rsidRDefault="00216C19" w:rsidP="00216C19">
            <w:pPr>
              <w:numPr>
                <w:ilvl w:val="0"/>
                <w:numId w:val="36"/>
              </w:numPr>
              <w:overflowPunct/>
              <w:autoSpaceDE/>
              <w:autoSpaceDN/>
              <w:adjustRightInd/>
              <w:spacing w:after="0"/>
              <w:jc w:val="left"/>
              <w:textAlignment w:val="auto"/>
              <w:rPr>
                <w:lang w:eastAsia="x-none"/>
              </w:rPr>
            </w:pPr>
            <w:r w:rsidRPr="00AA6505">
              <w:rPr>
                <w:lang w:val="en-US" w:eastAsia="x-none"/>
              </w:rPr>
              <w:t>RAN1 assumes that the DFN offset value is common to all aggregated carriers from a UE point of view.</w:t>
            </w:r>
          </w:p>
          <w:p w14:paraId="2D7DE4A9" w14:textId="77777777" w:rsidR="00216C19" w:rsidRDefault="00216C19" w:rsidP="00216C19">
            <w:pPr>
              <w:rPr>
                <w:lang w:eastAsia="x-none"/>
              </w:rPr>
            </w:pPr>
          </w:p>
          <w:p w14:paraId="51B9E3C9" w14:textId="77777777" w:rsidR="00216C19" w:rsidRPr="00AA6505" w:rsidRDefault="00216C19" w:rsidP="00216C19">
            <w:pPr>
              <w:rPr>
                <w:b/>
                <w:highlight w:val="green"/>
                <w:u w:val="single"/>
                <w:lang w:eastAsia="x-none"/>
              </w:rPr>
            </w:pPr>
            <w:r w:rsidRPr="00AA6505">
              <w:rPr>
                <w:b/>
                <w:highlight w:val="green"/>
                <w:u w:val="single"/>
                <w:lang w:eastAsia="x-none"/>
              </w:rPr>
              <w:t xml:space="preserve">Agreement: </w:t>
            </w:r>
          </w:p>
          <w:p w14:paraId="63647F4B" w14:textId="77777777" w:rsidR="00216C19" w:rsidRPr="00AA6505" w:rsidRDefault="00216C19" w:rsidP="00216C19">
            <w:pPr>
              <w:numPr>
                <w:ilvl w:val="0"/>
                <w:numId w:val="37"/>
              </w:numPr>
              <w:overflowPunct/>
              <w:autoSpaceDE/>
              <w:autoSpaceDN/>
              <w:adjustRightInd/>
              <w:spacing w:after="0"/>
              <w:jc w:val="left"/>
              <w:textAlignment w:val="auto"/>
              <w:rPr>
                <w:lang w:eastAsia="x-none"/>
              </w:rPr>
            </w:pPr>
            <w:r w:rsidRPr="00AA6505">
              <w:rPr>
                <w:lang w:val="en-US" w:eastAsia="x-none"/>
              </w:rPr>
              <w:t>UE may assume number and location of SLSS resources is the same in all the aggregated carriers.</w:t>
            </w:r>
          </w:p>
          <w:p w14:paraId="217441F4" w14:textId="77777777" w:rsidR="00216C19" w:rsidRPr="00AA6505" w:rsidRDefault="00216C19" w:rsidP="00216C19">
            <w:pPr>
              <w:numPr>
                <w:ilvl w:val="0"/>
                <w:numId w:val="37"/>
              </w:numPr>
              <w:overflowPunct/>
              <w:autoSpaceDE/>
              <w:autoSpaceDN/>
              <w:adjustRightInd/>
              <w:spacing w:after="0"/>
              <w:jc w:val="left"/>
              <w:textAlignment w:val="auto"/>
              <w:rPr>
                <w:lang w:eastAsia="x-none"/>
              </w:rPr>
            </w:pPr>
            <w:r w:rsidRPr="00AA6505">
              <w:rPr>
                <w:lang w:val="en-US" w:eastAsia="x-none"/>
              </w:rPr>
              <w:t>RAN1 assumes a UE may be configured a non-synchronization carrier by defining the location of the SLSS resources and by configuring the UE to not transmit SLSS on that carrier.</w:t>
            </w:r>
          </w:p>
          <w:p w14:paraId="04130217" w14:textId="77777777" w:rsidR="00216C19" w:rsidRPr="002C321F" w:rsidRDefault="00216C19" w:rsidP="00216C19">
            <w:pPr>
              <w:numPr>
                <w:ilvl w:val="1"/>
                <w:numId w:val="37"/>
              </w:numPr>
              <w:overflowPunct/>
              <w:autoSpaceDE/>
              <w:autoSpaceDN/>
              <w:adjustRightInd/>
              <w:spacing w:after="0"/>
              <w:jc w:val="left"/>
              <w:textAlignment w:val="auto"/>
              <w:rPr>
                <w:highlight w:val="yellow"/>
                <w:lang w:eastAsia="x-none"/>
              </w:rPr>
            </w:pPr>
            <w:r w:rsidRPr="002C321F">
              <w:rPr>
                <w:highlight w:val="yellow"/>
                <w:lang w:val="en-US" w:eastAsia="x-none"/>
              </w:rPr>
              <w:t>Check until RAN1#92bis whether the existing signalling is sufficient for this</w:t>
            </w:r>
          </w:p>
          <w:p w14:paraId="6843D4AA" w14:textId="77777777" w:rsidR="00216C19" w:rsidRPr="002C321F" w:rsidRDefault="00216C19" w:rsidP="00216C19">
            <w:pPr>
              <w:numPr>
                <w:ilvl w:val="0"/>
                <w:numId w:val="37"/>
              </w:numPr>
              <w:overflowPunct/>
              <w:autoSpaceDE/>
              <w:autoSpaceDN/>
              <w:adjustRightInd/>
              <w:spacing w:after="0"/>
              <w:jc w:val="left"/>
              <w:textAlignment w:val="auto"/>
              <w:rPr>
                <w:highlight w:val="yellow"/>
                <w:lang w:eastAsia="x-none"/>
              </w:rPr>
            </w:pPr>
            <w:r w:rsidRPr="002C321F">
              <w:rPr>
                <w:highlight w:val="yellow"/>
                <w:lang w:val="en-US" w:eastAsia="x-none"/>
              </w:rPr>
              <w:t>FFS how to ensure the above when using preconfiguration.</w:t>
            </w:r>
          </w:p>
          <w:p w14:paraId="0D427353" w14:textId="77777777" w:rsidR="00216C19" w:rsidRDefault="00216C19" w:rsidP="00216C19">
            <w:pPr>
              <w:rPr>
                <w:lang w:eastAsia="x-none"/>
              </w:rPr>
            </w:pPr>
          </w:p>
          <w:p w14:paraId="494EEA67" w14:textId="77777777" w:rsidR="00216C19" w:rsidRPr="009A70A4" w:rsidRDefault="00216C19" w:rsidP="00216C19">
            <w:pPr>
              <w:rPr>
                <w:b/>
                <w:highlight w:val="darkYellow"/>
                <w:u w:val="single"/>
                <w:lang w:eastAsia="x-none"/>
              </w:rPr>
            </w:pPr>
            <w:r w:rsidRPr="009A70A4">
              <w:rPr>
                <w:b/>
                <w:highlight w:val="darkYellow"/>
                <w:u w:val="single"/>
                <w:lang w:eastAsia="x-none"/>
              </w:rPr>
              <w:t xml:space="preserve">Working Assumption: </w:t>
            </w:r>
          </w:p>
          <w:p w14:paraId="7383548C" w14:textId="77777777" w:rsidR="00216C19" w:rsidRPr="00AA6505" w:rsidRDefault="00216C19" w:rsidP="00216C19">
            <w:pPr>
              <w:numPr>
                <w:ilvl w:val="0"/>
                <w:numId w:val="38"/>
              </w:numPr>
              <w:overflowPunct/>
              <w:autoSpaceDE/>
              <w:autoSpaceDN/>
              <w:adjustRightInd/>
              <w:spacing w:after="0"/>
              <w:jc w:val="left"/>
              <w:textAlignment w:val="auto"/>
              <w:rPr>
                <w:lang w:eastAsia="x-none"/>
              </w:rPr>
            </w:pPr>
            <w:r w:rsidRPr="00AA6505">
              <w:rPr>
                <w:lang w:val="en-US" w:eastAsia="x-none"/>
              </w:rPr>
              <w:t>The UE is configured one of the following options:</w:t>
            </w:r>
          </w:p>
          <w:p w14:paraId="104F649E" w14:textId="77777777" w:rsidR="00216C19" w:rsidRPr="00AA6505" w:rsidRDefault="00216C19" w:rsidP="00216C19">
            <w:pPr>
              <w:numPr>
                <w:ilvl w:val="1"/>
                <w:numId w:val="39"/>
              </w:numPr>
              <w:overflowPunct/>
              <w:autoSpaceDE/>
              <w:autoSpaceDN/>
              <w:adjustRightInd/>
              <w:spacing w:after="0"/>
              <w:jc w:val="left"/>
              <w:textAlignment w:val="auto"/>
              <w:rPr>
                <w:lang w:eastAsia="x-none"/>
              </w:rPr>
            </w:pPr>
            <w:r w:rsidRPr="00AA6505">
              <w:rPr>
                <w:lang w:val="en-US" w:eastAsia="x-none"/>
              </w:rPr>
              <w:t>SLSS is transmitted (based on Rel-14 procedure) on selected sync carrier from Set-B</w:t>
            </w:r>
          </w:p>
          <w:p w14:paraId="50D3A849" w14:textId="77777777" w:rsidR="00216C19" w:rsidRPr="00AA6505" w:rsidRDefault="00216C19" w:rsidP="00216C19">
            <w:pPr>
              <w:numPr>
                <w:ilvl w:val="1"/>
                <w:numId w:val="39"/>
              </w:numPr>
              <w:overflowPunct/>
              <w:autoSpaceDE/>
              <w:autoSpaceDN/>
              <w:adjustRightInd/>
              <w:spacing w:after="0"/>
              <w:jc w:val="left"/>
              <w:textAlignment w:val="auto"/>
              <w:rPr>
                <w:lang w:eastAsia="x-none"/>
              </w:rPr>
            </w:pPr>
            <w:r w:rsidRPr="00AA6505">
              <w:rPr>
                <w:lang w:val="en-US" w:eastAsia="x-none"/>
              </w:rPr>
              <w:t>SLSS is transmitted on all carriers from Set-B</w:t>
            </w:r>
          </w:p>
          <w:p w14:paraId="62EBDCC6" w14:textId="77777777" w:rsidR="00216C19" w:rsidRPr="002C321F" w:rsidRDefault="00216C19" w:rsidP="00216C19">
            <w:pPr>
              <w:numPr>
                <w:ilvl w:val="2"/>
                <w:numId w:val="38"/>
              </w:numPr>
              <w:overflowPunct/>
              <w:autoSpaceDE/>
              <w:autoSpaceDN/>
              <w:adjustRightInd/>
              <w:spacing w:after="0"/>
              <w:jc w:val="left"/>
              <w:textAlignment w:val="auto"/>
              <w:rPr>
                <w:highlight w:val="yellow"/>
                <w:lang w:eastAsia="x-none"/>
              </w:rPr>
            </w:pPr>
            <w:r w:rsidRPr="002C321F">
              <w:rPr>
                <w:highlight w:val="yellow"/>
                <w:lang w:val="en-US" w:eastAsia="x-none"/>
              </w:rPr>
              <w:t>FFS until RAN1#92bis: how to handle limited TX capabilities (within the constraint that SLSS must at least be transmitted on the selected sync carrier), and details such as SLSS id, PSBCH contents, etc.</w:t>
            </w:r>
          </w:p>
          <w:p w14:paraId="0D81731F" w14:textId="77777777" w:rsidR="00216C19" w:rsidRPr="00AA6505" w:rsidRDefault="00216C19" w:rsidP="00216C19">
            <w:pPr>
              <w:numPr>
                <w:ilvl w:val="0"/>
                <w:numId w:val="38"/>
              </w:numPr>
              <w:overflowPunct/>
              <w:autoSpaceDE/>
              <w:autoSpaceDN/>
              <w:adjustRightInd/>
              <w:spacing w:after="0"/>
              <w:jc w:val="left"/>
              <w:textAlignment w:val="auto"/>
              <w:rPr>
                <w:lang w:eastAsia="x-none"/>
              </w:rPr>
            </w:pPr>
            <w:r w:rsidRPr="00AA6505">
              <w:rPr>
                <w:lang w:val="en-US" w:eastAsia="x-none"/>
              </w:rPr>
              <w:t>Each option is an independent UE capability</w:t>
            </w:r>
          </w:p>
          <w:p w14:paraId="3A2A21E9" w14:textId="77777777" w:rsidR="00216C19" w:rsidRPr="009A70A4" w:rsidRDefault="00216C19" w:rsidP="00216C19">
            <w:pPr>
              <w:numPr>
                <w:ilvl w:val="0"/>
                <w:numId w:val="38"/>
              </w:numPr>
              <w:overflowPunct/>
              <w:autoSpaceDE/>
              <w:autoSpaceDN/>
              <w:adjustRightInd/>
              <w:spacing w:after="0"/>
              <w:jc w:val="left"/>
              <w:textAlignment w:val="auto"/>
              <w:rPr>
                <w:lang w:eastAsia="x-none"/>
              </w:rPr>
            </w:pPr>
            <w:r w:rsidRPr="00AA6505">
              <w:rPr>
                <w:lang w:val="en-US" w:eastAsia="x-none"/>
              </w:rPr>
              <w:t>On top of this, Release-14 configuration applies to each carrier individually</w:t>
            </w:r>
          </w:p>
          <w:p w14:paraId="5746237F" w14:textId="01A029F6" w:rsidR="0028318F" w:rsidRDefault="00216C19" w:rsidP="00523DAE">
            <w:pPr>
              <w:numPr>
                <w:ilvl w:val="0"/>
                <w:numId w:val="38"/>
              </w:numPr>
              <w:overflowPunct/>
              <w:autoSpaceDE/>
              <w:autoSpaceDN/>
              <w:adjustRightInd/>
              <w:spacing w:after="0"/>
              <w:jc w:val="left"/>
              <w:textAlignment w:val="auto"/>
            </w:pPr>
            <w:r w:rsidRPr="002C321F">
              <w:rPr>
                <w:highlight w:val="yellow"/>
                <w:lang w:eastAsia="x-none"/>
              </w:rPr>
              <w:t>After conclusion on the above FFS point, consider whether it is possible to downselect between the two options.</w:t>
            </w:r>
            <w:r>
              <w:rPr>
                <w:lang w:eastAsia="x-none"/>
              </w:rPr>
              <w:t xml:space="preserve"> </w:t>
            </w:r>
          </w:p>
        </w:tc>
      </w:tr>
    </w:tbl>
    <w:p w14:paraId="57116299" w14:textId="2ABD64FB" w:rsidR="005C609D" w:rsidRDefault="005C609D" w:rsidP="00A76C68">
      <w:pPr>
        <w:pStyle w:val="BodyText"/>
        <w:spacing w:before="240"/>
      </w:pPr>
      <w:r>
        <w:t xml:space="preserve">In this </w:t>
      </w:r>
      <w:r w:rsidR="009B2FBA">
        <w:t xml:space="preserve">contribution, we </w:t>
      </w:r>
      <w:r w:rsidR="006C385E">
        <w:t>discuss</w:t>
      </w:r>
      <w:r w:rsidR="009B2FBA">
        <w:t xml:space="preserve"> </w:t>
      </w:r>
      <w:r w:rsidR="00494F17">
        <w:t xml:space="preserve">the </w:t>
      </w:r>
      <w:r w:rsidR="00216C19">
        <w:t xml:space="preserve">outstanding issues </w:t>
      </w:r>
      <w:r w:rsidR="00DB602E">
        <w:t>(</w:t>
      </w:r>
      <w:r w:rsidR="00E3272D">
        <w:t xml:space="preserve">stated as </w:t>
      </w:r>
      <w:r w:rsidR="00E3272D" w:rsidRPr="001D36C9">
        <w:rPr>
          <w:highlight w:val="yellow"/>
        </w:rPr>
        <w:t>FFS</w:t>
      </w:r>
      <w:r w:rsidR="001D36C9">
        <w:t xml:space="preserve"> above</w:t>
      </w:r>
      <w:r w:rsidR="00DB602E">
        <w:t xml:space="preserve">) </w:t>
      </w:r>
      <w:r w:rsidR="00216C19">
        <w:t xml:space="preserve">on </w:t>
      </w:r>
      <w:r w:rsidR="003F4369">
        <w:t xml:space="preserve">synchronization for </w:t>
      </w:r>
      <w:r w:rsidR="00216C19">
        <w:t>carrier aggregation</w:t>
      </w:r>
      <w:r w:rsidR="009B2FBA">
        <w:t xml:space="preserve">. </w:t>
      </w:r>
    </w:p>
    <w:p w14:paraId="5925009D" w14:textId="431C2F32" w:rsidR="004000E8" w:rsidRPr="0078434C" w:rsidRDefault="003142DD" w:rsidP="00CE0424">
      <w:pPr>
        <w:pStyle w:val="Heading1"/>
      </w:pPr>
      <w:r>
        <w:lastRenderedPageBreak/>
        <w:t>Transmission of SLSS/PSBCH</w:t>
      </w:r>
    </w:p>
    <w:p w14:paraId="4745CD02" w14:textId="6E0CEF2A" w:rsidR="00523DAE" w:rsidRDefault="00523DAE" w:rsidP="002C321F">
      <w:pPr>
        <w:pStyle w:val="Heading2"/>
      </w:pPr>
      <w:bookmarkStart w:id="0" w:name="_Ref509408386"/>
      <w:r>
        <w:t>Configuration aspects</w:t>
      </w:r>
      <w:bookmarkEnd w:id="0"/>
    </w:p>
    <w:p w14:paraId="77EAF338" w14:textId="43EFC317" w:rsidR="003142DD" w:rsidRDefault="003142DD" w:rsidP="001B3D65">
      <w:pPr>
        <w:pStyle w:val="BodyText"/>
        <w:spacing w:after="240"/>
      </w:pPr>
      <w:r>
        <w:t>During RAN1#92, there was a</w:t>
      </w:r>
      <w:r w:rsidR="000923FC">
        <w:t xml:space="preserve"> </w:t>
      </w:r>
      <w:r>
        <w:t xml:space="preserve">discussion on the alignment of SLSS resources across CCs and how to selectively configure a UE to transmit SLSS on specific carriers. </w:t>
      </w:r>
      <w:r w:rsidR="00B1298A">
        <w:t>When it comes to configuration of a carrier</w:t>
      </w:r>
      <w:r w:rsidR="00017832">
        <w:t xml:space="preserve">, </w:t>
      </w:r>
      <w:r w:rsidR="00D87CDF">
        <w:t>Section 5.10.7.2 in TS 36.331 describes the procedure for initiating the transmission of SLSS</w:t>
      </w:r>
      <w:r w:rsidR="006C0E56">
        <w:t xml:space="preserve">. </w:t>
      </w:r>
      <w:r>
        <w:t xml:space="preserve"> </w:t>
      </w:r>
    </w:p>
    <w:tbl>
      <w:tblPr>
        <w:tblStyle w:val="TableGrid"/>
        <w:tblW w:w="0" w:type="auto"/>
        <w:tblLook w:val="04A0" w:firstRow="1" w:lastRow="0" w:firstColumn="1" w:lastColumn="0" w:noHBand="0" w:noVBand="1"/>
      </w:tblPr>
      <w:tblGrid>
        <w:gridCol w:w="9629"/>
      </w:tblGrid>
      <w:tr w:rsidR="00D87CDF" w14:paraId="58F36106" w14:textId="77777777" w:rsidTr="00D87CDF">
        <w:tc>
          <w:tcPr>
            <w:tcW w:w="9629" w:type="dxa"/>
          </w:tcPr>
          <w:p w14:paraId="4353A74A" w14:textId="77777777" w:rsidR="00D87CDF" w:rsidRPr="004E1F03" w:rsidRDefault="00D87CDF" w:rsidP="002C321F">
            <w:pPr>
              <w:spacing w:before="240"/>
            </w:pPr>
            <w:r w:rsidRPr="004E1F03">
              <w:t>A UE capable of V2X sidelink communication and SLSS/PSBCH transmission shall, when transmitting non-P2X related V2X sidelink communication in accordance with 5.10.13, and if the conditions for V2X sidelink communication operation as defined in 5.10.1d are met and when the following conditions are met:</w:t>
            </w:r>
          </w:p>
          <w:p w14:paraId="7B45A562" w14:textId="77777777" w:rsidR="00D87CDF" w:rsidRPr="004E1F03" w:rsidRDefault="00D87CDF" w:rsidP="00D87CDF">
            <w:pPr>
              <w:pStyle w:val="B1"/>
            </w:pPr>
            <w:r w:rsidRPr="004E1F03">
              <w:t>1&gt;</w:t>
            </w:r>
            <w:r w:rsidRPr="004E1F03">
              <w:tab/>
              <w:t xml:space="preserve">if in coverage on the frequency used for </w:t>
            </w:r>
            <w:r w:rsidRPr="004E1F03">
              <w:rPr>
                <w:lang w:eastAsia="zh-CN"/>
              </w:rPr>
              <w:t>V2X sidelink communication</w:t>
            </w:r>
            <w:r w:rsidRPr="004E1F03">
              <w:t>, as defined in TS 36.304 [4, 11.4]</w:t>
            </w:r>
            <w:r w:rsidRPr="004E1F03">
              <w:rPr>
                <w:lang w:eastAsia="zh-CN"/>
              </w:rPr>
              <w:t>; and has selected GNSS or the cell as synchronization reference as defined in 5.10.13.3; or</w:t>
            </w:r>
          </w:p>
          <w:p w14:paraId="39E6A932" w14:textId="77777777" w:rsidR="00D87CDF" w:rsidRPr="004E1F03" w:rsidRDefault="00D87CDF" w:rsidP="00D87CDF">
            <w:pPr>
              <w:pStyle w:val="B1"/>
              <w:rPr>
                <w:lang w:eastAsia="zh-CN"/>
              </w:rPr>
            </w:pPr>
            <w:r w:rsidRPr="004E1F03">
              <w:t>1&gt;</w:t>
            </w:r>
            <w:r w:rsidRPr="004E1F03">
              <w:tab/>
              <w:t xml:space="preserve">if </w:t>
            </w:r>
            <w:r w:rsidRPr="004E1F03">
              <w:rPr>
                <w:lang w:eastAsia="zh-CN"/>
              </w:rPr>
              <w:t>out of</w:t>
            </w:r>
            <w:r w:rsidRPr="004E1F03">
              <w:t xml:space="preserve"> coverage on the frequency used for </w:t>
            </w:r>
            <w:r w:rsidRPr="004E1F03">
              <w:rPr>
                <w:lang w:eastAsia="zh-CN"/>
              </w:rPr>
              <w:t>V2X sidelink communication</w:t>
            </w:r>
            <w:r w:rsidRPr="004E1F03">
              <w:t xml:space="preserve">, as defined in TS 36.304 [4, 11.4], and the frequency used to transmit V2X sidelink communication is included in </w:t>
            </w:r>
            <w:r w:rsidRPr="004E1F03">
              <w:rPr>
                <w:rFonts w:cs="Courier New"/>
                <w:i/>
              </w:rPr>
              <w:t>v2x-InterFreqInfoList</w:t>
            </w:r>
            <w:r w:rsidRPr="004E1F03">
              <w:t xml:space="preserve"> in</w:t>
            </w:r>
            <w:r w:rsidRPr="004E1F03">
              <w:rPr>
                <w:i/>
                <w:lang w:eastAsia="zh-CN"/>
              </w:rPr>
              <w:t xml:space="preserve"> </w:t>
            </w:r>
            <w:r w:rsidRPr="004E1F03">
              <w:rPr>
                <w:i/>
              </w:rPr>
              <w:t>RRCConnectionReconfiguration</w:t>
            </w:r>
            <w:r w:rsidRPr="004E1F03">
              <w:t xml:space="preserve"> or in </w:t>
            </w:r>
            <w:r w:rsidRPr="004E1F03">
              <w:rPr>
                <w:i/>
              </w:rPr>
              <w:t>v2x-InterFreqInfoList</w:t>
            </w:r>
            <w:r w:rsidRPr="004E1F03">
              <w:t xml:space="preserve"> within</w:t>
            </w:r>
            <w:r w:rsidRPr="004E1F03">
              <w:rPr>
                <w:i/>
              </w:rPr>
              <w:t xml:space="preserve"> SystemInformationBlockType</w:t>
            </w:r>
            <w:r w:rsidRPr="004E1F03">
              <w:rPr>
                <w:i/>
                <w:lang w:eastAsia="zh-CN"/>
              </w:rPr>
              <w:t>21</w:t>
            </w:r>
            <w:r w:rsidRPr="004E1F03">
              <w:t xml:space="preserve"> of the serving cell/ PCell</w:t>
            </w:r>
            <w:r w:rsidRPr="004E1F03">
              <w:rPr>
                <w:lang w:eastAsia="zh-CN"/>
              </w:rPr>
              <w:t>; and has selected GNSS or the cell as synchronization reference as defined in 5.10.13.3</w:t>
            </w:r>
            <w:r w:rsidRPr="004E1F03">
              <w:t>:</w:t>
            </w:r>
          </w:p>
          <w:p w14:paraId="60F5C219" w14:textId="77777777" w:rsidR="00D87CDF" w:rsidRPr="004E1F03" w:rsidRDefault="00D87CDF" w:rsidP="00D87CDF">
            <w:pPr>
              <w:pStyle w:val="B2"/>
              <w:rPr>
                <w:lang w:eastAsia="zh-CN"/>
              </w:rPr>
            </w:pPr>
            <w:r w:rsidRPr="004E1F03">
              <w:t>2&gt;</w:t>
            </w:r>
            <w:r w:rsidRPr="004E1F03">
              <w:tab/>
              <w:t xml:space="preserve">if in RRC_CONNECTED; and if </w:t>
            </w:r>
            <w:r w:rsidRPr="004E1F03">
              <w:rPr>
                <w:i/>
              </w:rPr>
              <w:t>networkControlledSyncTx</w:t>
            </w:r>
            <w:r w:rsidRPr="004E1F03">
              <w:t xml:space="preserve"> is configured and set to </w:t>
            </w:r>
            <w:r w:rsidRPr="004E1F03">
              <w:rPr>
                <w:i/>
              </w:rPr>
              <w:t>on</w:t>
            </w:r>
            <w:r w:rsidRPr="004E1F03">
              <w:t>;</w:t>
            </w:r>
            <w:r w:rsidRPr="004E1F03">
              <w:rPr>
                <w:lang w:eastAsia="zh-CN"/>
              </w:rPr>
              <w:t xml:space="preserve"> or</w:t>
            </w:r>
          </w:p>
          <w:p w14:paraId="4F24183E" w14:textId="77777777" w:rsidR="00D87CDF" w:rsidRPr="004E1F03" w:rsidRDefault="00D87CDF" w:rsidP="00D87CDF">
            <w:pPr>
              <w:pStyle w:val="B2"/>
              <w:rPr>
                <w:lang w:eastAsia="zh-CN"/>
              </w:rPr>
            </w:pPr>
            <w:r w:rsidRPr="004E1F03">
              <w:t>2&gt;</w:t>
            </w:r>
            <w:r w:rsidRPr="004E1F03">
              <w:tab/>
              <w:t xml:space="preserve">if </w:t>
            </w:r>
            <w:r w:rsidRPr="004E1F03">
              <w:rPr>
                <w:i/>
              </w:rPr>
              <w:t>networkControlledSyncTx</w:t>
            </w:r>
            <w:r w:rsidRPr="004E1F03">
              <w:t xml:space="preserve"> is not configured; and</w:t>
            </w:r>
            <w:r w:rsidRPr="004E1F03">
              <w:rPr>
                <w:lang w:eastAsia="zh-CN"/>
              </w:rPr>
              <w:t xml:space="preserve"> for the concerned frequency </w:t>
            </w:r>
            <w:r w:rsidRPr="004E1F03">
              <w:rPr>
                <w:i/>
              </w:rPr>
              <w:t>syncTxThreshIC</w:t>
            </w:r>
            <w:r w:rsidRPr="004E1F03">
              <w:t xml:space="preserve"> is </w:t>
            </w:r>
            <w:r w:rsidRPr="004E1F03">
              <w:rPr>
                <w:lang w:eastAsia="zh-CN"/>
              </w:rPr>
              <w:t>configured;</w:t>
            </w:r>
            <w:r w:rsidRPr="004E1F03">
              <w:t xml:space="preserve"> and the RSRP measurement of the reference cell, selected as defined in 5.10.</w:t>
            </w:r>
            <w:r w:rsidRPr="004E1F03">
              <w:rPr>
                <w:lang w:eastAsia="zh-CN"/>
              </w:rPr>
              <w:t>13.3</w:t>
            </w:r>
            <w:r w:rsidRPr="004E1F03">
              <w:t xml:space="preserve">, for </w:t>
            </w:r>
            <w:r w:rsidRPr="004E1F03">
              <w:rPr>
                <w:lang w:eastAsia="zh-CN"/>
              </w:rPr>
              <w:t>V2X sidelink communication</w:t>
            </w:r>
            <w:r w:rsidRPr="004E1F03">
              <w:t xml:space="preserve"> </w:t>
            </w:r>
            <w:r w:rsidRPr="004E1F03">
              <w:rPr>
                <w:lang w:eastAsia="ko-KR"/>
              </w:rPr>
              <w:t xml:space="preserve">transmission </w:t>
            </w:r>
            <w:r w:rsidRPr="004E1F03">
              <w:t xml:space="preserve">is below the value of </w:t>
            </w:r>
            <w:r w:rsidRPr="004E1F03">
              <w:rPr>
                <w:i/>
              </w:rPr>
              <w:t>syncTxThreshIC</w:t>
            </w:r>
            <w:r w:rsidRPr="004E1F03">
              <w:t>:</w:t>
            </w:r>
          </w:p>
          <w:p w14:paraId="36C2D03A" w14:textId="77777777" w:rsidR="00D87CDF" w:rsidRPr="004E1F03" w:rsidRDefault="00D87CDF" w:rsidP="00D87CDF">
            <w:pPr>
              <w:pStyle w:val="B4"/>
              <w:ind w:left="1134"/>
            </w:pPr>
            <w:r w:rsidRPr="004E1F03">
              <w:rPr>
                <w:lang w:eastAsia="zh-CN"/>
              </w:rPr>
              <w:t>3</w:t>
            </w:r>
            <w:r w:rsidRPr="004E1F03">
              <w:t>&gt;</w:t>
            </w:r>
            <w:r w:rsidRPr="004E1F03">
              <w:tab/>
              <w:t xml:space="preserve">transmit SLSS on the frequency used for </w:t>
            </w:r>
            <w:r w:rsidRPr="004E1F03">
              <w:rPr>
                <w:lang w:eastAsia="zh-CN"/>
              </w:rPr>
              <w:t>V2X sidelink communication</w:t>
            </w:r>
            <w:r w:rsidRPr="004E1F03">
              <w:t xml:space="preserve"> in accordance with 5.10.7.3 and TS 36.211 [21];</w:t>
            </w:r>
          </w:p>
          <w:p w14:paraId="6ABB0268" w14:textId="77777777" w:rsidR="00D87CDF" w:rsidRPr="004E1F03" w:rsidRDefault="00D87CDF" w:rsidP="00D87CDF">
            <w:pPr>
              <w:pStyle w:val="B4"/>
              <w:ind w:left="1134"/>
            </w:pPr>
            <w:r w:rsidRPr="004E1F03">
              <w:rPr>
                <w:lang w:eastAsia="zh-CN"/>
              </w:rPr>
              <w:t>3</w:t>
            </w:r>
            <w:r w:rsidRPr="004E1F03">
              <w:t>&gt;</w:t>
            </w:r>
            <w:r w:rsidRPr="004E1F03">
              <w:tab/>
              <w:t xml:space="preserve">transmit the </w:t>
            </w:r>
            <w:r w:rsidRPr="004E1F03">
              <w:rPr>
                <w:i/>
              </w:rPr>
              <w:t>MasterInformationBlock-SL-V2X</w:t>
            </w:r>
            <w:r w:rsidRPr="004E1F03">
              <w:t xml:space="preserve"> message on the frequency used for </w:t>
            </w:r>
            <w:r w:rsidRPr="004E1F03">
              <w:rPr>
                <w:lang w:eastAsia="zh-CN"/>
              </w:rPr>
              <w:t>V2X sidelink communication</w:t>
            </w:r>
            <w:r w:rsidRPr="004E1F03">
              <w:t>, in the same subframe as SLSS, and in accordance with 5.10.7.4;</w:t>
            </w:r>
          </w:p>
          <w:p w14:paraId="2358389C" w14:textId="77777777" w:rsidR="00D87CDF" w:rsidRPr="004E1F03" w:rsidRDefault="00D87CDF" w:rsidP="00D87CDF">
            <w:pPr>
              <w:pStyle w:val="B1"/>
              <w:rPr>
                <w:lang w:eastAsia="zh-CN"/>
              </w:rPr>
            </w:pPr>
            <w:r w:rsidRPr="004E1F03">
              <w:t>1&gt;</w:t>
            </w:r>
            <w:r w:rsidRPr="004E1F03">
              <w:tab/>
              <w:t>else:</w:t>
            </w:r>
          </w:p>
          <w:p w14:paraId="0A807092" w14:textId="77777777" w:rsidR="00D87CDF" w:rsidRPr="004E1F03" w:rsidRDefault="00D87CDF" w:rsidP="00D87CDF">
            <w:pPr>
              <w:pStyle w:val="B2"/>
              <w:rPr>
                <w:lang w:eastAsia="zh-CN"/>
              </w:rPr>
            </w:pPr>
            <w:r w:rsidRPr="004E1F03">
              <w:rPr>
                <w:lang w:eastAsia="zh-CN"/>
              </w:rPr>
              <w:t>2&gt;</w:t>
            </w:r>
            <w:r w:rsidRPr="004E1F03">
              <w:rPr>
                <w:lang w:eastAsia="zh-CN"/>
              </w:rPr>
              <w:tab/>
              <w:t xml:space="preserve">for the frequency used for V2X sidelink communication, if </w:t>
            </w:r>
            <w:r w:rsidRPr="004E1F03">
              <w:rPr>
                <w:i/>
              </w:rPr>
              <w:t>syncOffsetIndicator</w:t>
            </w:r>
            <w:r w:rsidRPr="004E1F03">
              <w:rPr>
                <w:i/>
                <w:lang w:eastAsia="zh-CN"/>
              </w:rPr>
              <w:t>s</w:t>
            </w:r>
            <w:r w:rsidRPr="004E1F03">
              <w:rPr>
                <w:lang w:eastAsia="zh-CN"/>
              </w:rPr>
              <w:t xml:space="preserve"> is included in </w:t>
            </w:r>
            <w:r w:rsidRPr="004E1F03">
              <w:rPr>
                <w:i/>
              </w:rPr>
              <w:t>SL-V2X-Preconfiguration</w:t>
            </w:r>
            <w:r w:rsidRPr="004E1F03">
              <w:rPr>
                <w:lang w:eastAsia="zh-CN"/>
              </w:rPr>
              <w:t>:</w:t>
            </w:r>
          </w:p>
          <w:p w14:paraId="7C6B57D8" w14:textId="77777777" w:rsidR="00D87CDF" w:rsidRPr="004E1F03" w:rsidRDefault="00D87CDF" w:rsidP="00D87CDF">
            <w:pPr>
              <w:pStyle w:val="B2"/>
              <w:ind w:left="1134"/>
              <w:rPr>
                <w:lang w:eastAsia="zh-CN"/>
              </w:rPr>
            </w:pPr>
            <w:r w:rsidRPr="004E1F03">
              <w:rPr>
                <w:lang w:eastAsia="zh-CN"/>
              </w:rPr>
              <w:t>3</w:t>
            </w:r>
            <w:r w:rsidRPr="004E1F03">
              <w:t>&gt;</w:t>
            </w:r>
            <w:r w:rsidRPr="004E1F03">
              <w:tab/>
              <w:t>if</w:t>
            </w:r>
            <w:bookmarkStart w:id="1" w:name="OLE_LINK145"/>
            <w:r w:rsidRPr="004E1F03">
              <w:t xml:space="preserve"> </w:t>
            </w:r>
            <w:r w:rsidRPr="004E1F03">
              <w:rPr>
                <w:i/>
              </w:rPr>
              <w:t>syncTxThreshOoC</w:t>
            </w:r>
            <w:bookmarkEnd w:id="1"/>
            <w:r w:rsidRPr="004E1F03">
              <w:t xml:space="preserve"> is included in </w:t>
            </w:r>
            <w:r w:rsidRPr="004E1F03">
              <w:rPr>
                <w:i/>
                <w:noProof/>
              </w:rPr>
              <w:t>SL-</w:t>
            </w:r>
            <w:r w:rsidRPr="004E1F03">
              <w:rPr>
                <w:i/>
                <w:noProof/>
                <w:lang w:eastAsia="zh-CN"/>
              </w:rPr>
              <w:t>V2X-</w:t>
            </w:r>
            <w:r w:rsidRPr="004E1F03">
              <w:rPr>
                <w:i/>
                <w:noProof/>
              </w:rPr>
              <w:t>Preconfiguration</w:t>
            </w:r>
            <w:r w:rsidRPr="004E1F03">
              <w:t xml:space="preserve">; and the UE </w:t>
            </w:r>
            <w:r w:rsidRPr="004E1F03">
              <w:rPr>
                <w:lang w:eastAsia="zh-CN"/>
              </w:rPr>
              <w:t xml:space="preserve">is not directly synchronized to GNSS, and the UE </w:t>
            </w:r>
            <w:r w:rsidRPr="004E1F03">
              <w:t xml:space="preserve">has no selected SyncRef UE or the S-RSRP measurement result of the selected SyncRef UE is below the value of </w:t>
            </w:r>
            <w:r w:rsidRPr="004E1F03">
              <w:rPr>
                <w:i/>
              </w:rPr>
              <w:t>syncTxThreshOoC</w:t>
            </w:r>
            <w:r w:rsidRPr="004E1F03">
              <w:rPr>
                <w:lang w:eastAsia="zh-CN"/>
              </w:rPr>
              <w:t>; or</w:t>
            </w:r>
          </w:p>
          <w:p w14:paraId="3D15EC42" w14:textId="77777777" w:rsidR="00D87CDF" w:rsidRPr="004E1F03" w:rsidRDefault="00D87CDF" w:rsidP="00D87CDF">
            <w:pPr>
              <w:pStyle w:val="B2"/>
              <w:ind w:firstLine="0"/>
              <w:rPr>
                <w:lang w:eastAsia="zh-CN"/>
              </w:rPr>
            </w:pPr>
            <w:r w:rsidRPr="004E1F03">
              <w:rPr>
                <w:lang w:eastAsia="zh-CN"/>
              </w:rPr>
              <w:t>3</w:t>
            </w:r>
            <w:r w:rsidRPr="004E1F03">
              <w:t>&gt;</w:t>
            </w:r>
            <w:r w:rsidRPr="004E1F03">
              <w:tab/>
            </w:r>
            <w:r w:rsidRPr="004E1F03">
              <w:rPr>
                <w:lang w:eastAsia="zh-CN"/>
              </w:rPr>
              <w:t xml:space="preserve">if </w:t>
            </w:r>
            <w:r w:rsidRPr="004E1F03">
              <w:t xml:space="preserve">the UE </w:t>
            </w:r>
            <w:r w:rsidRPr="004E1F03">
              <w:rPr>
                <w:lang w:eastAsia="zh-CN"/>
              </w:rPr>
              <w:t>selects GNSS as the synchronization reference source:</w:t>
            </w:r>
          </w:p>
          <w:p w14:paraId="0D15844F" w14:textId="77777777" w:rsidR="00D87CDF" w:rsidRPr="004E1F03" w:rsidRDefault="00D87CDF" w:rsidP="00D87CDF">
            <w:pPr>
              <w:pStyle w:val="B4"/>
              <w:rPr>
                <w:lang w:eastAsia="zh-CN"/>
              </w:rPr>
            </w:pPr>
            <w:r w:rsidRPr="004E1F03">
              <w:rPr>
                <w:lang w:eastAsia="zh-CN"/>
              </w:rPr>
              <w:t>4</w:t>
            </w:r>
            <w:r w:rsidRPr="004E1F03">
              <w:t>&gt;</w:t>
            </w:r>
            <w:r w:rsidRPr="004E1F03">
              <w:tab/>
              <w:t>transmit SLSS in accordance with 5.10.7.3 and TS 36.211 [21]</w:t>
            </w:r>
            <w:r w:rsidRPr="004E1F03">
              <w:rPr>
                <w:lang w:eastAsia="zh-CN"/>
              </w:rPr>
              <w:t>;</w:t>
            </w:r>
          </w:p>
          <w:p w14:paraId="4D733CE1" w14:textId="0252099C" w:rsidR="00D87CDF" w:rsidRDefault="00D87CDF" w:rsidP="002C321F">
            <w:pPr>
              <w:pStyle w:val="B4"/>
            </w:pPr>
            <w:r w:rsidRPr="004E1F03">
              <w:rPr>
                <w:lang w:eastAsia="zh-CN"/>
              </w:rPr>
              <w:t>4</w:t>
            </w:r>
            <w:r w:rsidRPr="004E1F03">
              <w:t>&gt;</w:t>
            </w:r>
            <w:r w:rsidRPr="004E1F03">
              <w:tab/>
              <w:t xml:space="preserve">transmit the </w:t>
            </w:r>
            <w:r w:rsidRPr="004E1F03">
              <w:rPr>
                <w:i/>
              </w:rPr>
              <w:t>MasterInformationBlock-SL-V2X</w:t>
            </w:r>
            <w:r w:rsidRPr="004E1F03">
              <w:t xml:space="preserve"> message, in the same subframe as SLSS, and in accordance with 5.10.7.4;</w:t>
            </w:r>
          </w:p>
        </w:tc>
      </w:tr>
    </w:tbl>
    <w:p w14:paraId="782BDC04" w14:textId="0408652D" w:rsidR="00D87CDF" w:rsidRDefault="00BE5705" w:rsidP="00D87CDF">
      <w:pPr>
        <w:pStyle w:val="BodyText"/>
        <w:spacing w:before="240" w:after="240"/>
      </w:pPr>
      <w:r>
        <w:t>Whereas, the</w:t>
      </w:r>
      <w:r w:rsidR="00043732">
        <w:t xml:space="preserve"> related</w:t>
      </w:r>
      <w:r>
        <w:t xml:space="preserve"> </w:t>
      </w:r>
      <w:r w:rsidR="004F2D54">
        <w:t>sidelink</w:t>
      </w:r>
      <w:r>
        <w:t xml:space="preserve"> IEs </w:t>
      </w:r>
      <w:r w:rsidR="00043732">
        <w:t>are defined as follows</w:t>
      </w:r>
      <w:r w:rsidR="0013228C">
        <w:t>:</w:t>
      </w:r>
    </w:p>
    <w:tbl>
      <w:tblPr>
        <w:tblStyle w:val="TableGrid"/>
        <w:tblW w:w="0" w:type="auto"/>
        <w:tblLook w:val="04A0" w:firstRow="1" w:lastRow="0" w:firstColumn="1" w:lastColumn="0" w:noHBand="0" w:noVBand="1"/>
      </w:tblPr>
      <w:tblGrid>
        <w:gridCol w:w="9629"/>
      </w:tblGrid>
      <w:tr w:rsidR="00D87CDF" w14:paraId="6145D2BF" w14:textId="77777777" w:rsidTr="00D87CDF">
        <w:tc>
          <w:tcPr>
            <w:tcW w:w="9629" w:type="dxa"/>
          </w:tcPr>
          <w:p w14:paraId="27A4B926" w14:textId="77777777" w:rsidR="00D87CDF" w:rsidRPr="004E1F03" w:rsidRDefault="00D87CDF" w:rsidP="002C321F">
            <w:pPr>
              <w:pStyle w:val="TAL"/>
              <w:spacing w:before="240"/>
              <w:rPr>
                <w:b/>
                <w:bCs/>
                <w:i/>
                <w:noProof/>
                <w:lang w:eastAsia="zh-CN"/>
              </w:rPr>
            </w:pPr>
            <w:r w:rsidRPr="004E1F03">
              <w:rPr>
                <w:b/>
                <w:bCs/>
                <w:i/>
                <w:noProof/>
                <w:lang w:eastAsia="en-GB"/>
              </w:rPr>
              <w:lastRenderedPageBreak/>
              <w:t>networkControlledSyncTx</w:t>
            </w:r>
          </w:p>
          <w:p w14:paraId="4FC204FA" w14:textId="755FB999" w:rsidR="00D87CDF" w:rsidRDefault="00D87CDF" w:rsidP="00D87CDF">
            <w:pPr>
              <w:pStyle w:val="BodyText"/>
              <w:spacing w:before="240" w:after="240"/>
            </w:pPr>
            <w:r w:rsidRPr="004E1F03">
              <w:rPr>
                <w:bCs/>
                <w:noProof/>
              </w:rPr>
              <w:t>This</w:t>
            </w:r>
            <w:r w:rsidRPr="004E1F03">
              <w:rPr>
                <w:bCs/>
                <w:noProof/>
                <w:lang w:eastAsia="en-GB"/>
              </w:rPr>
              <w:t xml:space="preserve"> field indicates whether the UE shall transmit synchronisation information (i.e. become synchronisation source). Value </w:t>
            </w:r>
            <w:r w:rsidRPr="004E1F03">
              <w:rPr>
                <w:bCs/>
                <w:i/>
                <w:noProof/>
                <w:lang w:eastAsia="en-GB"/>
              </w:rPr>
              <w:t>On</w:t>
            </w:r>
            <w:r w:rsidRPr="004E1F03">
              <w:rPr>
                <w:bCs/>
                <w:noProof/>
                <w:lang w:eastAsia="en-GB"/>
              </w:rPr>
              <w:t xml:space="preserve"> indicates the UE to transmit synchronisation information while value </w:t>
            </w:r>
            <w:r w:rsidRPr="004E1F03">
              <w:rPr>
                <w:bCs/>
                <w:i/>
                <w:noProof/>
                <w:lang w:eastAsia="en-GB"/>
              </w:rPr>
              <w:t>Off</w:t>
            </w:r>
            <w:r w:rsidRPr="004E1F03">
              <w:rPr>
                <w:bCs/>
                <w:noProof/>
                <w:lang w:eastAsia="en-GB"/>
              </w:rPr>
              <w:t xml:space="preserve"> indicates the UE to not transmit such information.</w:t>
            </w:r>
          </w:p>
        </w:tc>
      </w:tr>
      <w:tr w:rsidR="00AA5ED1" w14:paraId="5746FE22" w14:textId="77777777" w:rsidTr="00AA5ED1">
        <w:tc>
          <w:tcPr>
            <w:tcW w:w="9629" w:type="dxa"/>
          </w:tcPr>
          <w:p w14:paraId="2D8B70FE" w14:textId="77777777" w:rsidR="00E06243" w:rsidRPr="00ED5243" w:rsidRDefault="00E06243" w:rsidP="007E09D7">
            <w:pPr>
              <w:pStyle w:val="TAL"/>
              <w:spacing w:before="240"/>
              <w:rPr>
                <w:b/>
                <w:bCs/>
                <w:i/>
                <w:noProof/>
                <w:lang w:eastAsia="zh-CN"/>
              </w:rPr>
            </w:pPr>
            <w:r w:rsidRPr="00ED5243">
              <w:rPr>
                <w:b/>
                <w:bCs/>
                <w:i/>
                <w:noProof/>
                <w:lang w:eastAsia="en-GB"/>
              </w:rPr>
              <w:t>syncTxThreshIC</w:t>
            </w:r>
          </w:p>
          <w:p w14:paraId="4C28E0DB" w14:textId="597A96E4" w:rsidR="00AA5ED1" w:rsidRDefault="00E06243" w:rsidP="00E06243">
            <w:pPr>
              <w:pStyle w:val="BodyText"/>
              <w:spacing w:before="240" w:after="240"/>
            </w:pPr>
            <w:r w:rsidRPr="00ED5243">
              <w:rPr>
                <w:bCs/>
                <w:noProof/>
                <w:lang w:eastAsia="en-GB"/>
              </w:rPr>
              <w:t>Indicates the threshold used while in coverage. In case the RSRP measurement of the cell chosen for</w:t>
            </w:r>
            <w:r w:rsidRPr="00ED5243">
              <w:rPr>
                <w:lang w:eastAsia="en-GB"/>
              </w:rPr>
              <w:t xml:space="preserve"> transmission of </w:t>
            </w:r>
            <w:r w:rsidRPr="00ED5243">
              <w:rPr>
                <w:bCs/>
                <w:noProof/>
                <w:lang w:eastAsia="en-GB"/>
              </w:rPr>
              <w:t>sidelink communication/ discovery announcements, or of the cell used as reference for DL measurements and synchronization, is below the level indicated by this field, the UE may transmit SLSS (i.e. become synchronisation reference) when performing the corresponding sidelink transmission..</w:t>
            </w:r>
          </w:p>
        </w:tc>
      </w:tr>
    </w:tbl>
    <w:p w14:paraId="4643A95C" w14:textId="46F57A46" w:rsidR="00725E61" w:rsidRDefault="00E06243" w:rsidP="00725E61">
      <w:pPr>
        <w:pStyle w:val="BodyText"/>
        <w:spacing w:before="240" w:after="240"/>
      </w:pPr>
      <w:r>
        <w:t>Clearly, for UEs in coverage</w:t>
      </w:r>
      <w:r w:rsidR="00855B8A">
        <w:t xml:space="preserve"> (either RRC connected or RRC idle)</w:t>
      </w:r>
      <w:r>
        <w:t xml:space="preserve"> the network may use </w:t>
      </w:r>
      <w:r w:rsidRPr="004E1F03">
        <w:rPr>
          <w:i/>
        </w:rPr>
        <w:t>networkControlledSyncTx</w:t>
      </w:r>
      <w:r w:rsidR="00DF6717">
        <w:rPr>
          <w:i/>
        </w:rPr>
        <w:t xml:space="preserve"> </w:t>
      </w:r>
      <w:r w:rsidR="00DF6717">
        <w:t xml:space="preserve">or </w:t>
      </w:r>
      <w:r w:rsidR="00DF6717" w:rsidRPr="004E1F03">
        <w:rPr>
          <w:i/>
        </w:rPr>
        <w:t>syncTxThreshIC</w:t>
      </w:r>
      <w:r w:rsidRPr="002C321F">
        <w:t xml:space="preserve"> </w:t>
      </w:r>
      <w:r>
        <w:t>to ensure that UEs transmit on the appropriate carriers.</w:t>
      </w:r>
      <w:r w:rsidR="006B5BA8">
        <w:t xml:space="preserve"> </w:t>
      </w:r>
      <w:r w:rsidR="00725E61">
        <w:t xml:space="preserve">For UEs out of coverage, the situation is different: </w:t>
      </w:r>
    </w:p>
    <w:p w14:paraId="18ABC0B7" w14:textId="04770C5B" w:rsidR="00725E61" w:rsidRDefault="00725E61" w:rsidP="00725E61">
      <w:pPr>
        <w:pStyle w:val="BodyText"/>
        <w:numPr>
          <w:ilvl w:val="0"/>
          <w:numId w:val="40"/>
        </w:numPr>
        <w:spacing w:after="240"/>
      </w:pPr>
      <w:r>
        <w:t xml:space="preserve">If the OOC UE is not directly synchronized to GNSS, then it is possible to prevent transmission of SLSS in a certain carrier by not pre-configuring </w:t>
      </w:r>
      <w:r w:rsidRPr="004E1F03">
        <w:rPr>
          <w:i/>
        </w:rPr>
        <w:t>syncTxThreshOoC</w:t>
      </w:r>
      <w:r>
        <w:t>.</w:t>
      </w:r>
    </w:p>
    <w:p w14:paraId="4E70156F" w14:textId="141E4CA1" w:rsidR="008A69BB" w:rsidRDefault="00725E61" w:rsidP="00725E61">
      <w:pPr>
        <w:pStyle w:val="BodyText"/>
        <w:numPr>
          <w:ilvl w:val="0"/>
          <w:numId w:val="40"/>
        </w:numPr>
        <w:spacing w:after="240"/>
      </w:pPr>
      <w:r>
        <w:t xml:space="preserve">If the OOC UE is directly synchronized to GNSS, then there is no way to prevent transmission of SLSS in a certain carrier. </w:t>
      </w:r>
    </w:p>
    <w:p w14:paraId="78A4D655" w14:textId="696E70DC" w:rsidR="00725E61" w:rsidRDefault="008A69BB" w:rsidP="007E09D7">
      <w:pPr>
        <w:pStyle w:val="BodyText"/>
        <w:spacing w:after="240"/>
      </w:pPr>
      <w:r>
        <w:t xml:space="preserve">Therefore, it is necessary to include an additional RRC parameter for the case of </w:t>
      </w:r>
      <w:r w:rsidR="005246FF">
        <w:t>OOC UEs</w:t>
      </w:r>
      <w:r w:rsidR="00DA2E39">
        <w:t xml:space="preserve"> performing CA</w:t>
      </w:r>
      <w:r w:rsidR="005D6188">
        <w:t>,</w:t>
      </w:r>
      <w:r w:rsidR="005246FF">
        <w:t xml:space="preserve"> </w:t>
      </w:r>
      <w:r w:rsidR="00E020D2">
        <w:t xml:space="preserve">which </w:t>
      </w:r>
      <w:r w:rsidR="005D6188">
        <w:t>must rely</w:t>
      </w:r>
      <w:r w:rsidR="00E020D2">
        <w:t xml:space="preserve"> on pre-configuration. </w:t>
      </w:r>
    </w:p>
    <w:p w14:paraId="5935817F" w14:textId="4CECA6DA" w:rsidR="00F3176D" w:rsidRPr="00F3176D" w:rsidRDefault="00725E61" w:rsidP="00725E61">
      <w:pPr>
        <w:pStyle w:val="Proposal"/>
      </w:pPr>
      <w:r>
        <w:t xml:space="preserve">Send an LS to RAN2 requesting the inclusion of </w:t>
      </w:r>
      <w:r w:rsidR="00D80E6E">
        <w:t xml:space="preserve">RRC parameter </w:t>
      </w:r>
      <w:r w:rsidR="00623CDC">
        <w:t xml:space="preserve">in pre-configuration </w:t>
      </w:r>
      <w:r w:rsidR="00D80E6E">
        <w:t xml:space="preserve">similar to </w:t>
      </w:r>
      <w:r w:rsidRPr="00523DAE">
        <w:rPr>
          <w:i/>
        </w:rPr>
        <w:t>networkControlledSyncTx</w:t>
      </w:r>
      <w:r>
        <w:t xml:space="preserve"> </w:t>
      </w:r>
      <w:r w:rsidR="00623CDC">
        <w:t>for carrier aggregation</w:t>
      </w:r>
      <w:r>
        <w:t>.</w:t>
      </w:r>
    </w:p>
    <w:p w14:paraId="38F1D91B" w14:textId="1F502E1E" w:rsidR="00523DAE" w:rsidRDefault="00523DAE" w:rsidP="00523DAE">
      <w:pPr>
        <w:pStyle w:val="Heading2"/>
      </w:pPr>
      <w:r>
        <w:t>SLSS</w:t>
      </w:r>
      <w:r w:rsidR="00097486">
        <w:t xml:space="preserve"> sequences and </w:t>
      </w:r>
      <w:r>
        <w:t>PSBCH</w:t>
      </w:r>
    </w:p>
    <w:p w14:paraId="3EE9A1FA" w14:textId="2EA4E12A" w:rsidR="00097486" w:rsidRDefault="00097486" w:rsidP="00523DAE">
      <w:r>
        <w:t>In this section, we discuss the synchronization signals and the contents</w:t>
      </w:r>
      <w:r w:rsidR="00EC2AF0">
        <w:t xml:space="preserve"> and </w:t>
      </w:r>
      <w:r w:rsidR="006F0378">
        <w:t>generation</w:t>
      </w:r>
      <w:r>
        <w:t xml:space="preserve"> of PSBCH.</w:t>
      </w:r>
    </w:p>
    <w:p w14:paraId="1D305FDA" w14:textId="620604D8" w:rsidR="00097486" w:rsidRDefault="00097486" w:rsidP="00523DAE">
      <w:r>
        <w:t>We note that to ensure backwards compatibility it is necessary that Rel-15 UEs transmit signals that are compatible with those transmitted by Rel-</w:t>
      </w:r>
      <w:r w:rsidR="00B23D17">
        <w:t xml:space="preserve">14 </w:t>
      </w:r>
      <w:r>
        <w:t>UEs (e.g., so that they can be SFN combined, etc.).</w:t>
      </w:r>
    </w:p>
    <w:p w14:paraId="2946E866" w14:textId="01EE4D7A" w:rsidR="00097486" w:rsidRDefault="00097486" w:rsidP="00697F64">
      <w:pPr>
        <w:pStyle w:val="Observation"/>
      </w:pPr>
      <w:r>
        <w:t xml:space="preserve">SLSS/PSBCH transmissions by Rel-15 UEs perfoming CA must be compatible with those transmitted by other UEs (e.g., Rel-14 UEs) </w:t>
      </w:r>
    </w:p>
    <w:p w14:paraId="7A45E29C" w14:textId="2B7199CD" w:rsidR="005F52C2" w:rsidRDefault="005F52C2" w:rsidP="00523DAE">
      <w:r>
        <w:t>The first consequence of this observation is that the same SLSS sequences must be transmitted by Rel-15 UEs. That is, a UE transmitting SLSS must proceed in exactly the same way regardless of whether it is aggregating carriers or not.</w:t>
      </w:r>
    </w:p>
    <w:p w14:paraId="19865D4F" w14:textId="2C9C9FF6" w:rsidR="005F52C2" w:rsidRDefault="005F52C2" w:rsidP="005F52C2">
      <w:pPr>
        <w:pStyle w:val="Proposal"/>
      </w:pPr>
      <w:r>
        <w:t xml:space="preserve">SLSS for each carrier </w:t>
      </w:r>
      <w:r w:rsidR="008132A9">
        <w:t xml:space="preserve">are generated </w:t>
      </w:r>
      <w:r>
        <w:t>in the same way as in Rel-14, including using the same SLSSID.</w:t>
      </w:r>
    </w:p>
    <w:p w14:paraId="645436D2" w14:textId="516EB386" w:rsidR="005F52C2" w:rsidRDefault="00E358F9" w:rsidP="00523DAE">
      <w:r>
        <w:t>Similarly, the contents</w:t>
      </w:r>
      <w:r w:rsidR="00E966BB">
        <w:t xml:space="preserve"> and generation</w:t>
      </w:r>
      <w:r>
        <w:t xml:space="preserve"> of PSBCH must be the same, regardless of whether the UE is aggregating carriers or not. The contents of PSBCH consists of</w:t>
      </w:r>
      <w:r w:rsidR="00E024F6">
        <w:t xml:space="preserve"> DFN, TDD configuration, system bandwidth, and in-coverage indicator.</w:t>
      </w:r>
    </w:p>
    <w:p w14:paraId="759600F9" w14:textId="1BF4CB68" w:rsidR="008132A9" w:rsidRDefault="008132A9" w:rsidP="008132A9">
      <w:pPr>
        <w:pStyle w:val="Proposal"/>
      </w:pPr>
      <w:r>
        <w:t>PSBCH for each carrier is generated in the same way as in Rel-14, including using the same SLSSID</w:t>
      </w:r>
      <w:r w:rsidR="00404494">
        <w:t xml:space="preserve"> (</w:t>
      </w:r>
      <w:r w:rsidR="005074B2">
        <w:t>used from scrambling</w:t>
      </w:r>
      <w:r w:rsidR="00404494">
        <w:t>)</w:t>
      </w:r>
      <w:r>
        <w:t>.</w:t>
      </w:r>
    </w:p>
    <w:p w14:paraId="5737DD57" w14:textId="6E9B41A0" w:rsidR="006B6AB4" w:rsidRDefault="006B6AB4" w:rsidP="00523DAE">
      <w:r>
        <w:t>In addition to the transmitter behaviour, the specification also defines the receiver behaviour. It is worth reviewing it in detail given that configuration received in one carrier may be applied for transmission in another carrier:</w:t>
      </w:r>
    </w:p>
    <w:p w14:paraId="07708D77" w14:textId="192C0EB4" w:rsidR="00097486" w:rsidRDefault="00974590" w:rsidP="002C321F">
      <w:pPr>
        <w:pStyle w:val="ListParagraph"/>
        <w:numPr>
          <w:ilvl w:val="0"/>
          <w:numId w:val="44"/>
        </w:numPr>
      </w:pPr>
      <w:r>
        <w:t>DFN</w:t>
      </w:r>
      <w:r w:rsidR="004A1ED3">
        <w:t>:</w:t>
      </w:r>
      <w:r>
        <w:t xml:space="preserve"> Per current </w:t>
      </w:r>
      <w:r w:rsidR="00097486">
        <w:t xml:space="preserve">aggrements, it </w:t>
      </w:r>
      <w:r w:rsidR="00097486" w:rsidRPr="00097486">
        <w:t>is RAN1 understanding that the DFN value is common to all aggregated carriers</w:t>
      </w:r>
      <w:r w:rsidR="00E358F9">
        <w:t xml:space="preserve">. </w:t>
      </w:r>
      <w:r>
        <w:t>That is, there is no problem in using the DFN offset obtained from SLSS in another carrier if aggregation is allowed.</w:t>
      </w:r>
    </w:p>
    <w:p w14:paraId="4CF030A3" w14:textId="4A3CD287" w:rsidR="00097486" w:rsidRDefault="00097486" w:rsidP="00097486">
      <w:pPr>
        <w:pStyle w:val="ListParagraph"/>
        <w:numPr>
          <w:ilvl w:val="0"/>
          <w:numId w:val="42"/>
        </w:numPr>
      </w:pPr>
      <w:r>
        <w:t>TDD configuration</w:t>
      </w:r>
      <w:r w:rsidR="004D56C5">
        <w:t>:</w:t>
      </w:r>
      <w:r w:rsidR="00E358F9">
        <w:t xml:space="preserve"> </w:t>
      </w:r>
      <w:r w:rsidR="0069247B">
        <w:t>Using the TDD configuration from a different carrier must be prevented.</w:t>
      </w:r>
      <w:r w:rsidR="00E358F9">
        <w:t xml:space="preserve"> </w:t>
      </w:r>
    </w:p>
    <w:p w14:paraId="6D57726B" w14:textId="1A65554B" w:rsidR="00097486" w:rsidRDefault="00097486" w:rsidP="00097486">
      <w:pPr>
        <w:pStyle w:val="ListParagraph"/>
        <w:numPr>
          <w:ilvl w:val="0"/>
          <w:numId w:val="42"/>
        </w:numPr>
      </w:pPr>
      <w:r>
        <w:lastRenderedPageBreak/>
        <w:t>System bandwidth</w:t>
      </w:r>
      <w:r w:rsidR="004D56C5">
        <w:t>:</w:t>
      </w:r>
      <w:r w:rsidR="00E358F9">
        <w:t xml:space="preserve"> </w:t>
      </w:r>
      <w:r w:rsidR="0069247B">
        <w:t>Transmitting</w:t>
      </w:r>
      <w:r w:rsidR="00974590">
        <w:t xml:space="preserve"> V2X messages</w:t>
      </w:r>
      <w:r w:rsidR="0069247B">
        <w:t xml:space="preserve"> </w:t>
      </w:r>
      <w:r w:rsidR="00974590">
        <w:t>with an incorrect understanding of the system bandwidth must be prevented.</w:t>
      </w:r>
    </w:p>
    <w:p w14:paraId="462CD031" w14:textId="3C85E654" w:rsidR="0069247B" w:rsidRDefault="0069247B" w:rsidP="00097486">
      <w:pPr>
        <w:pStyle w:val="ListParagraph"/>
        <w:numPr>
          <w:ilvl w:val="0"/>
          <w:numId w:val="42"/>
        </w:numPr>
      </w:pPr>
      <w:r>
        <w:t>In-coverage indicator</w:t>
      </w:r>
      <w:r w:rsidR="001521E4">
        <w:t>:</w:t>
      </w:r>
      <w:r w:rsidR="00974590">
        <w:t xml:space="preserve"> This has no impact on transmission of V2X messages other than PSBCH. As stated above, PSBCH contents for each carrier must be generated in the same way as in Rel-14.</w:t>
      </w:r>
    </w:p>
    <w:p w14:paraId="540522D2" w14:textId="637E48CB" w:rsidR="00974590" w:rsidRDefault="00974590" w:rsidP="002C321F">
      <w:r>
        <w:t>It is clear that transmission of SLSS in a subset of carriers is prone to problems and limitations. In our view, at least the following limitations are necessary</w:t>
      </w:r>
      <w:r w:rsidR="001521E4">
        <w:t>.</w:t>
      </w:r>
    </w:p>
    <w:p w14:paraId="1E49E086" w14:textId="24A6E15C" w:rsidR="005F52C2" w:rsidRDefault="00E358F9" w:rsidP="005F52C2">
      <w:pPr>
        <w:pStyle w:val="Proposal"/>
      </w:pPr>
      <w:r>
        <w:t>RAN 1 assumes that Set-A (in the synchronization configuration) is empty if any of the following happen:</w:t>
      </w:r>
    </w:p>
    <w:p w14:paraId="31205BFE" w14:textId="057604E0" w:rsidR="00E358F9" w:rsidRDefault="00697F64" w:rsidP="00E358F9">
      <w:pPr>
        <w:pStyle w:val="Proposal"/>
        <w:numPr>
          <w:ilvl w:val="0"/>
          <w:numId w:val="43"/>
        </w:numPr>
      </w:pPr>
      <w:r>
        <w:t xml:space="preserve">The carriers that can be potentially aggregated have </w:t>
      </w:r>
      <w:r w:rsidR="00E358F9">
        <w:t>different bandwidths.</w:t>
      </w:r>
    </w:p>
    <w:p w14:paraId="199BE641" w14:textId="6B098BEE" w:rsidR="00E358F9" w:rsidRDefault="00697F64" w:rsidP="002C321F">
      <w:pPr>
        <w:pStyle w:val="Proposal"/>
        <w:numPr>
          <w:ilvl w:val="0"/>
          <w:numId w:val="43"/>
        </w:numPr>
      </w:pPr>
      <w:r>
        <w:t xml:space="preserve">The carriers that can be potentially aggregated use </w:t>
      </w:r>
      <w:r w:rsidR="00E358F9">
        <w:t>different TDD configurations</w:t>
      </w:r>
      <w:r>
        <w:t>.</w:t>
      </w:r>
    </w:p>
    <w:p w14:paraId="1D0D913A" w14:textId="712A9E35" w:rsidR="00097486" w:rsidRDefault="00300D3A" w:rsidP="00523DAE">
      <w:r>
        <w:t>Altogether, we think that it would be better to ensure that UEs always use the Rel-14 SLSS procedure.</w:t>
      </w:r>
    </w:p>
    <w:p w14:paraId="569C73EF" w14:textId="4D8EBF00" w:rsidR="00523DAE" w:rsidRDefault="00523DAE" w:rsidP="00523DAE">
      <w:pPr>
        <w:pStyle w:val="Heading2"/>
      </w:pPr>
      <w:r>
        <w:t>Limited capabilities</w:t>
      </w:r>
    </w:p>
    <w:p w14:paraId="4474747B" w14:textId="67B23DDC" w:rsidR="00B512B1" w:rsidRDefault="00EA7691" w:rsidP="002C321F">
      <w:r>
        <w:t xml:space="preserve">In case of transmission of SLSS on different carriers, some companies </w:t>
      </w:r>
      <w:r w:rsidR="00A3296F">
        <w:t>showed concerns in case of limited TX capability of the UE</w:t>
      </w:r>
      <w:r w:rsidR="000C3E85">
        <w:t xml:space="preserve">, for instance, low transmission power in case of simultaneous SLSS. However, </w:t>
      </w:r>
      <w:r w:rsidR="004123DE">
        <w:t xml:space="preserve">in our view, </w:t>
      </w:r>
      <w:r w:rsidR="00107CC6">
        <w:t xml:space="preserve">SLSS can be dropped in case of limited capability. </w:t>
      </w:r>
      <w:r w:rsidR="003852E3">
        <w:t xml:space="preserve">On the other side, not allowing any SLSS transmission on some carrier can </w:t>
      </w:r>
      <w:r w:rsidR="00954983">
        <w:t xml:space="preserve">lead to </w:t>
      </w:r>
      <w:r w:rsidR="00FC7783">
        <w:t xml:space="preserve">different interpretation of </w:t>
      </w:r>
      <w:r w:rsidR="003638B8">
        <w:t>timin</w:t>
      </w:r>
      <w:r w:rsidR="00B33D75">
        <w:t>g</w:t>
      </w:r>
      <w:r w:rsidR="0051420E">
        <w:t xml:space="preserve"> for a Rel. 14 UE which only operates on that carrier. Hence, it creates backward compatibility </w:t>
      </w:r>
      <w:r w:rsidR="00F4445F">
        <w:t xml:space="preserve">issue which is more harmful. </w:t>
      </w:r>
      <w:r w:rsidR="003E5B17">
        <w:t xml:space="preserve">If </w:t>
      </w:r>
      <w:r w:rsidR="006829CC">
        <w:t xml:space="preserve">dropping of SLSS transmssions </w:t>
      </w:r>
      <w:r w:rsidR="003E5B17">
        <w:t>were</w:t>
      </w:r>
      <w:r w:rsidR="006829CC">
        <w:t xml:space="preserve"> necessary, we believe that this should be done </w:t>
      </w:r>
      <w:r w:rsidR="009D2095">
        <w:t>based on the priority of the synchronization source for that carrier.</w:t>
      </w:r>
      <w:r w:rsidR="006829CC">
        <w:t xml:space="preserve"> </w:t>
      </w:r>
    </w:p>
    <w:p w14:paraId="479A07A0" w14:textId="255DF4D7" w:rsidR="00D25AE2" w:rsidRPr="005C218A" w:rsidRDefault="00AE0D94" w:rsidP="007E09D7">
      <w:pPr>
        <w:pStyle w:val="Observation"/>
        <w:numPr>
          <w:ilvl w:val="0"/>
          <w:numId w:val="0"/>
        </w:numPr>
        <w:ind w:left="1695" w:hanging="1695"/>
      </w:pPr>
      <w:r>
        <w:t>Proposal 5</w:t>
      </w:r>
      <w:r>
        <w:tab/>
        <w:t xml:space="preserve">Dropping of SLSS transmission due to limited TX capability is </w:t>
      </w:r>
      <w:r w:rsidR="007063A6">
        <w:t xml:space="preserve">done in decreasing order of synchronization source priority. It is up to UE implementation how to drop </w:t>
      </w:r>
      <w:r w:rsidR="00CE6AF9">
        <w:t>SLSS transmissions for sources with the same priority.</w:t>
      </w:r>
    </w:p>
    <w:p w14:paraId="15C71066" w14:textId="18F9C2A2" w:rsidR="00973B0F" w:rsidRDefault="00973B0F" w:rsidP="00973B0F">
      <w:pPr>
        <w:pStyle w:val="Heading2"/>
      </w:pPr>
      <w:r>
        <w:t>Down-selection of options</w:t>
      </w:r>
    </w:p>
    <w:p w14:paraId="3BA231EA" w14:textId="6FB95170" w:rsidR="00973B0F" w:rsidRDefault="00973B0F" w:rsidP="00973B0F">
      <w:r>
        <w:t>In our</w:t>
      </w:r>
      <w:r w:rsidR="005C218A">
        <w:t xml:space="preserve"> view</w:t>
      </w:r>
      <w:r>
        <w:t>, it is not necessary to have two different configurable options</w:t>
      </w:r>
      <w:r w:rsidR="005C218A">
        <w:t xml:space="preserve"> for transmission of SLSS. We think that supporting option 2 together with proper configuration is everything that is needed. For example, if the operator wants that “</w:t>
      </w:r>
      <w:r w:rsidR="005C218A" w:rsidRPr="005C218A">
        <w:t>SLSS is transmitted (based on Rel-14 procedure) on selected sync carrier from Set-B</w:t>
      </w:r>
      <w:r w:rsidR="005C218A">
        <w:t xml:space="preserve">”, it can simply (pre-)configure the different carriers appropriately, as described in Section </w:t>
      </w:r>
      <w:r w:rsidR="005C218A">
        <w:fldChar w:fldCharType="begin"/>
      </w:r>
      <w:r w:rsidR="005C218A">
        <w:instrText xml:space="preserve"> REF _Ref509408386 \r \h </w:instrText>
      </w:r>
      <w:r w:rsidR="005C218A">
        <w:fldChar w:fldCharType="separate"/>
      </w:r>
      <w:r w:rsidR="005C218A">
        <w:t>2.1</w:t>
      </w:r>
      <w:r w:rsidR="005C218A">
        <w:fldChar w:fldCharType="end"/>
      </w:r>
      <w:r w:rsidR="005C218A">
        <w:t>. Similarly, the operator can ensure that SLSS is transmitted in any subset of Set-B by (pre-)configuring appropriately.</w:t>
      </w:r>
    </w:p>
    <w:p w14:paraId="7167636E" w14:textId="37A12DDC" w:rsidR="005C218A" w:rsidRDefault="00AE0D94" w:rsidP="007E09D7">
      <w:pPr>
        <w:pStyle w:val="Proposal"/>
        <w:numPr>
          <w:ilvl w:val="0"/>
          <w:numId w:val="0"/>
        </w:numPr>
        <w:ind w:left="1701" w:hanging="1701"/>
      </w:pPr>
      <w:r>
        <w:t>Proposal 6</w:t>
      </w:r>
      <w:r>
        <w:tab/>
      </w:r>
      <w:r w:rsidR="005C218A">
        <w:t>The specification supports only Option 2 “</w:t>
      </w:r>
      <w:r w:rsidR="005C218A" w:rsidRPr="005C218A">
        <w:t>SLSS is transmitted on all carriers from Set-B</w:t>
      </w:r>
      <w:r w:rsidR="005C218A">
        <w:t>”.</w:t>
      </w:r>
    </w:p>
    <w:p w14:paraId="2C1B6BD4" w14:textId="77777777" w:rsidR="00C01F33" w:rsidRPr="00CE0424" w:rsidRDefault="00C01F33" w:rsidP="00CE0424">
      <w:pPr>
        <w:pStyle w:val="Heading1"/>
      </w:pPr>
      <w:r w:rsidRPr="00CE0424">
        <w:t>Conclusion</w:t>
      </w:r>
    </w:p>
    <w:p w14:paraId="756C997A" w14:textId="2086AEFA" w:rsidR="0013228C" w:rsidRDefault="00C6609B" w:rsidP="00523DAE">
      <w:pPr>
        <w:pStyle w:val="BodyText"/>
      </w:pPr>
      <w:r w:rsidRPr="007E09D7">
        <w:t xml:space="preserve">In this paper we have </w:t>
      </w:r>
      <w:r w:rsidR="0013228C">
        <w:t xml:space="preserve">observed and </w:t>
      </w:r>
      <w:r w:rsidRPr="007E09D7">
        <w:t>proposed the following</w:t>
      </w:r>
      <w:r w:rsidR="008E065E" w:rsidRPr="007E09D7">
        <w:t>:</w:t>
      </w:r>
    </w:p>
    <w:p w14:paraId="498214DC" w14:textId="77777777" w:rsidR="0013228C" w:rsidRDefault="0013228C" w:rsidP="007E09D7">
      <w:pPr>
        <w:pStyle w:val="Observation"/>
        <w:numPr>
          <w:ilvl w:val="0"/>
          <w:numId w:val="47"/>
        </w:numPr>
      </w:pPr>
      <w:r>
        <w:t xml:space="preserve">SLSS/PSBCH transmissions by Rel-15 UEs perfoming CA must be compatible with those transmitted by other UEs (e.g., Rel-14 UEs) </w:t>
      </w:r>
    </w:p>
    <w:p w14:paraId="5DE3FF65" w14:textId="1E0D0B06" w:rsidR="002C5C29" w:rsidRPr="00F3176D" w:rsidRDefault="008E065E" w:rsidP="00523DAE">
      <w:pPr>
        <w:pStyle w:val="BodyText"/>
      </w:pPr>
      <w:r>
        <w:rPr>
          <w:b/>
          <w:bCs/>
          <w:highlight w:val="yellow"/>
        </w:rPr>
        <w:fldChar w:fldCharType="begin"/>
      </w:r>
      <w:r w:rsidRPr="00523DAE">
        <w:rPr>
          <w:b/>
          <w:bCs/>
          <w:highlight w:val="yellow"/>
        </w:rPr>
        <w:instrText xml:space="preserve"> TOC \f \n \p " " \t "Proposal;1" </w:instrText>
      </w:r>
      <w:r>
        <w:rPr>
          <w:b/>
          <w:bCs/>
          <w:highlight w:val="yellow"/>
        </w:rPr>
        <w:fldChar w:fldCharType="separate"/>
      </w:r>
    </w:p>
    <w:p w14:paraId="67146244" w14:textId="2D53AE4D" w:rsidR="0013228C" w:rsidRDefault="0013228C" w:rsidP="0013228C">
      <w:pPr>
        <w:pStyle w:val="Proposal"/>
        <w:numPr>
          <w:ilvl w:val="0"/>
          <w:numId w:val="46"/>
        </w:numPr>
      </w:pPr>
      <w:r>
        <w:t xml:space="preserve">Send an LS to RAN2 requesting the inclusion of RRC parameter in pre-configuration similar to </w:t>
      </w:r>
      <w:r w:rsidRPr="007E09D7">
        <w:rPr>
          <w:i/>
        </w:rPr>
        <w:t>networkControlledSyncTx</w:t>
      </w:r>
      <w:r>
        <w:t xml:space="preserve"> for carrier aggregation.</w:t>
      </w:r>
    </w:p>
    <w:p w14:paraId="2D1420F7" w14:textId="77777777" w:rsidR="0013228C" w:rsidRDefault="0013228C" w:rsidP="0013228C">
      <w:pPr>
        <w:pStyle w:val="Proposal"/>
        <w:numPr>
          <w:ilvl w:val="0"/>
          <w:numId w:val="46"/>
        </w:numPr>
      </w:pPr>
      <w:r>
        <w:t>SLSS for each carrier are generated in the same way as in Rel-14, including using the same SLSSID.</w:t>
      </w:r>
    </w:p>
    <w:p w14:paraId="00D4BA3C" w14:textId="462D8867" w:rsidR="0013228C" w:rsidRDefault="0013228C" w:rsidP="0013228C">
      <w:pPr>
        <w:pStyle w:val="Proposal"/>
        <w:numPr>
          <w:ilvl w:val="0"/>
          <w:numId w:val="46"/>
        </w:numPr>
      </w:pPr>
      <w:r>
        <w:t>PSBCH for each carrier is generated in the same way as in Rel-14, including using the same SLSSID (used from scrambling).</w:t>
      </w:r>
    </w:p>
    <w:p w14:paraId="18A4C5C6" w14:textId="77777777" w:rsidR="0013228C" w:rsidRDefault="0013228C" w:rsidP="0013228C">
      <w:pPr>
        <w:pStyle w:val="Proposal"/>
        <w:tabs>
          <w:tab w:val="clear" w:pos="1701"/>
          <w:tab w:val="left" w:pos="1276"/>
        </w:tabs>
        <w:ind w:left="1276" w:hanging="1276"/>
      </w:pPr>
      <w:r>
        <w:t>RAN 1 assumes that Set-A (in the synchronization configuration) is empty if any of the following happen:</w:t>
      </w:r>
    </w:p>
    <w:p w14:paraId="0443F907" w14:textId="77777777" w:rsidR="0013228C" w:rsidRDefault="0013228C" w:rsidP="0013228C">
      <w:pPr>
        <w:pStyle w:val="Proposal"/>
        <w:numPr>
          <w:ilvl w:val="0"/>
          <w:numId w:val="43"/>
        </w:numPr>
      </w:pPr>
      <w:r>
        <w:t>The carriers that can be potentially aggregated have different bandwidths.</w:t>
      </w:r>
    </w:p>
    <w:p w14:paraId="3EB52895" w14:textId="77777777" w:rsidR="0013228C" w:rsidRDefault="0013228C" w:rsidP="0013228C">
      <w:pPr>
        <w:pStyle w:val="Proposal"/>
        <w:numPr>
          <w:ilvl w:val="0"/>
          <w:numId w:val="43"/>
        </w:numPr>
      </w:pPr>
      <w:r>
        <w:lastRenderedPageBreak/>
        <w:t>The carriers that can be potentially aggregated use different TDD configurations.</w:t>
      </w:r>
    </w:p>
    <w:p w14:paraId="5BD6A352" w14:textId="77777777" w:rsidR="0013228C" w:rsidRDefault="0013228C" w:rsidP="007E09D7">
      <w:pPr>
        <w:pStyle w:val="Proposal"/>
        <w:numPr>
          <w:ilvl w:val="0"/>
          <w:numId w:val="0"/>
        </w:numPr>
      </w:pPr>
    </w:p>
    <w:p w14:paraId="7A97A78F" w14:textId="77777777" w:rsidR="0013228C" w:rsidRPr="005C218A" w:rsidRDefault="0013228C" w:rsidP="0013228C">
      <w:pPr>
        <w:pStyle w:val="Proposal"/>
        <w:numPr>
          <w:ilvl w:val="0"/>
          <w:numId w:val="46"/>
        </w:numPr>
      </w:pPr>
      <w:r>
        <w:t>Dropping of SLSS transmission due to limited TX capability is done in decreasing order of synchronization source priority. It is up to UE implementation how to drop SLSS transmissions for sources with the same priority.</w:t>
      </w:r>
    </w:p>
    <w:p w14:paraId="7E528979" w14:textId="4B1412BB" w:rsidR="0013228C" w:rsidRPr="00F3176D" w:rsidRDefault="0013228C" w:rsidP="007E09D7">
      <w:pPr>
        <w:pStyle w:val="Proposal"/>
        <w:numPr>
          <w:ilvl w:val="0"/>
          <w:numId w:val="46"/>
        </w:numPr>
      </w:pPr>
      <w:r>
        <w:t>The specification supports only Option 2 “</w:t>
      </w:r>
      <w:r w:rsidRPr="005C218A">
        <w:t>SLSS is transmitted on all carriers from Set-B</w:t>
      </w:r>
      <w:bookmarkStart w:id="2" w:name="_GoBack"/>
      <w:bookmarkEnd w:id="2"/>
      <w:r>
        <w:t>”.</w:t>
      </w:r>
    </w:p>
    <w:p w14:paraId="57B73A36" w14:textId="6C02DB07" w:rsidR="00F507D1" w:rsidRPr="00CE0424" w:rsidRDefault="008E065E" w:rsidP="00CE0424">
      <w:pPr>
        <w:pStyle w:val="Heading1"/>
      </w:pPr>
      <w:r>
        <w:rPr>
          <w:b/>
          <w:bCs/>
        </w:rPr>
        <w:fldChar w:fldCharType="end"/>
      </w:r>
      <w:bookmarkStart w:id="3" w:name="_In-sequence_SDU_delivery"/>
      <w:bookmarkEnd w:id="3"/>
      <w:r w:rsidR="00F507D1" w:rsidRPr="00CE0424">
        <w:t>References</w:t>
      </w:r>
    </w:p>
    <w:p w14:paraId="45C95B4A" w14:textId="277A9108" w:rsidR="00B4457C" w:rsidRPr="00555287" w:rsidRDefault="000D5279" w:rsidP="00D22E34">
      <w:pPr>
        <w:pStyle w:val="ListParagraph"/>
        <w:numPr>
          <w:ilvl w:val="0"/>
          <w:numId w:val="32"/>
        </w:numPr>
        <w:overflowPunct/>
        <w:autoSpaceDE/>
        <w:autoSpaceDN/>
        <w:adjustRightInd/>
        <w:spacing w:after="0"/>
        <w:ind w:left="567" w:hanging="425"/>
        <w:contextualSpacing w:val="0"/>
        <w:jc w:val="left"/>
        <w:textAlignment w:val="auto"/>
        <w:rPr>
          <w:rFonts w:ascii="Times New Roman" w:hAnsi="Times New Roman"/>
          <w:color w:val="312E25"/>
          <w:lang w:eastAsia="sv-SE"/>
        </w:rPr>
      </w:pPr>
      <w:bookmarkStart w:id="4" w:name="_Ref506206145"/>
      <w:bookmarkStart w:id="5" w:name="_Ref477334379"/>
      <w:bookmarkStart w:id="6" w:name="_Ref462922309"/>
      <w:bookmarkStart w:id="7" w:name="_Ref450915949"/>
      <w:r w:rsidRPr="000D5279">
        <w:rPr>
          <w:rFonts w:ascii="Times New Roman" w:hAnsi="Times New Roman"/>
          <w:color w:val="312E25"/>
          <w:lang w:eastAsia="sv-SE"/>
        </w:rPr>
        <w:t>RP-171740</w:t>
      </w:r>
      <w:bookmarkEnd w:id="4"/>
      <w:r w:rsidR="0018464F">
        <w:rPr>
          <w:rFonts w:ascii="Times New Roman" w:hAnsi="Times New Roman"/>
          <w:color w:val="312E25"/>
          <w:lang w:eastAsia="sv-SE"/>
        </w:rPr>
        <w:t>, “</w:t>
      </w:r>
      <w:r w:rsidRPr="000D5279" w:rsidDel="00B93377">
        <w:rPr>
          <w:rFonts w:ascii="Times New Roman" w:hAnsi="Times New Roman"/>
          <w:color w:val="312E25"/>
          <w:lang w:eastAsia="sv-SE"/>
        </w:rPr>
        <w:t xml:space="preserve"> </w:t>
      </w:r>
      <w:r w:rsidR="00D22E34" w:rsidRPr="00D22E34">
        <w:rPr>
          <w:rFonts w:ascii="Times New Roman" w:hAnsi="Times New Roman"/>
          <w:color w:val="312E25"/>
          <w:lang w:eastAsia="sv-SE"/>
        </w:rPr>
        <w:t>Revision of WID:V2X phase 2 based on LTE</w:t>
      </w:r>
      <w:r w:rsidR="00D22E34">
        <w:rPr>
          <w:rFonts w:ascii="Times New Roman" w:hAnsi="Times New Roman"/>
          <w:color w:val="312E25"/>
          <w:lang w:eastAsia="sv-SE"/>
        </w:rPr>
        <w:t>”</w:t>
      </w:r>
      <w:r w:rsidR="00D22E34" w:rsidRPr="00D14502" w:rsidDel="00B93377">
        <w:rPr>
          <w:rFonts w:ascii="Times New Roman" w:hAnsi="Times New Roman"/>
          <w:color w:val="312E25"/>
          <w:lang w:eastAsia="sv-SE"/>
        </w:rPr>
        <w:t xml:space="preserve"> </w:t>
      </w:r>
      <w:bookmarkEnd w:id="5"/>
      <w:bookmarkEnd w:id="6"/>
      <w:bookmarkEnd w:id="7"/>
    </w:p>
    <w:sectPr w:rsidR="00B4457C" w:rsidRPr="00555287">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F173C" w14:textId="77777777" w:rsidR="009B1027" w:rsidRDefault="009B1027">
      <w:r>
        <w:separator/>
      </w:r>
    </w:p>
  </w:endnote>
  <w:endnote w:type="continuationSeparator" w:id="0">
    <w:p w14:paraId="2D0BAC23" w14:textId="77777777" w:rsidR="009B1027" w:rsidRDefault="009B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593019D" w:rsidR="00973B0F" w:rsidRDefault="00973B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09D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09D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3A018" w14:textId="77777777" w:rsidR="009B1027" w:rsidRDefault="009B1027">
      <w:r>
        <w:separator/>
      </w:r>
    </w:p>
  </w:footnote>
  <w:footnote w:type="continuationSeparator" w:id="0">
    <w:p w14:paraId="2A639552" w14:textId="77777777" w:rsidR="009B1027" w:rsidRDefault="009B1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73B0F" w:rsidRDefault="00973B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015E2EF7"/>
    <w:multiLevelType w:val="hybridMultilevel"/>
    <w:tmpl w:val="7C623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2" w15:restartNumberingAfterBreak="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0D1063"/>
    <w:multiLevelType w:val="hybridMultilevel"/>
    <w:tmpl w:val="9ACE7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352CF86"/>
    <w:lvl w:ilvl="0" w:tplc="D8722F68">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30179"/>
    <w:multiLevelType w:val="hybridMultilevel"/>
    <w:tmpl w:val="36AE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481C2E98"/>
    <w:multiLevelType w:val="hybridMultilevel"/>
    <w:tmpl w:val="5600A9F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E2556"/>
    <w:multiLevelType w:val="hybridMultilevel"/>
    <w:tmpl w:val="1D72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C2025876"/>
    <w:lvl w:ilvl="0" w:tplc="2240429A">
      <w:start w:val="1"/>
      <w:numFmt w:val="decimal"/>
      <w:pStyle w:val="Observation"/>
      <w:lvlText w:val="Observation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E2D52"/>
    <w:multiLevelType w:val="hybridMultilevel"/>
    <w:tmpl w:val="CDC46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F56ED2"/>
    <w:multiLevelType w:val="hybridMultilevel"/>
    <w:tmpl w:val="5912A39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19"/>
  </w:num>
  <w:num w:numId="4">
    <w:abstractNumId w:val="21"/>
  </w:num>
  <w:num w:numId="5">
    <w:abstractNumId w:val="17"/>
  </w:num>
  <w:num w:numId="6">
    <w:abstractNumId w:val="23"/>
  </w:num>
  <w:num w:numId="7">
    <w:abstractNumId w:val="34"/>
  </w:num>
  <w:num w:numId="8">
    <w:abstractNumId w:val="18"/>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3"/>
  </w:num>
  <w:num w:numId="19">
    <w:abstractNumId w:val="29"/>
  </w:num>
  <w:num w:numId="20">
    <w:abstractNumId w:val="39"/>
  </w:num>
  <w:num w:numId="21">
    <w:abstractNumId w:val="14"/>
  </w:num>
  <w:num w:numId="22">
    <w:abstractNumId w:val="37"/>
  </w:num>
  <w:num w:numId="23">
    <w:abstractNumId w:val="28"/>
  </w:num>
  <w:num w:numId="24">
    <w:abstractNumId w:val="9"/>
  </w:num>
  <w:num w:numId="25">
    <w:abstractNumId w:val="4"/>
  </w:num>
  <w:num w:numId="26">
    <w:abstractNumId w:val="38"/>
  </w:num>
  <w:num w:numId="27">
    <w:abstractNumId w:val="13"/>
  </w:num>
  <w:num w:numId="28">
    <w:abstractNumId w:val="25"/>
  </w:num>
  <w:num w:numId="29">
    <w:abstractNumId w:val="31"/>
    <w:lvlOverride w:ilvl="0">
      <w:startOverride w:val="1"/>
    </w:lvlOverride>
  </w:num>
  <w:num w:numId="30">
    <w:abstractNumId w:val="19"/>
    <w:lvlOverride w:ilvl="0">
      <w:startOverride w:val="1"/>
    </w:lvlOverride>
  </w:num>
  <w:num w:numId="31">
    <w:abstractNumId w:val="11"/>
  </w:num>
  <w:num w:numId="32">
    <w:abstractNumId w:val="24"/>
  </w:num>
  <w:num w:numId="33">
    <w:abstractNumId w:val="19"/>
    <w:lvlOverride w:ilvl="0">
      <w:startOverride w:val="1"/>
    </w:lvlOverride>
  </w:num>
  <w:num w:numId="34">
    <w:abstractNumId w:val="31"/>
    <w:lvlOverride w:ilvl="0">
      <w:startOverride w:val="1"/>
    </w:lvlOverride>
  </w:num>
  <w:num w:numId="35">
    <w:abstractNumId w:val="6"/>
  </w:num>
  <w:num w:numId="36">
    <w:abstractNumId w:val="12"/>
  </w:num>
  <w:num w:numId="37">
    <w:abstractNumId w:val="10"/>
  </w:num>
  <w:num w:numId="38">
    <w:abstractNumId w:val="27"/>
  </w:num>
  <w:num w:numId="39">
    <w:abstractNumId w:val="8"/>
  </w:num>
  <w:num w:numId="40">
    <w:abstractNumId w:val="30"/>
  </w:num>
  <w:num w:numId="41">
    <w:abstractNumId w:val="20"/>
  </w:num>
  <w:num w:numId="42">
    <w:abstractNumId w:val="15"/>
  </w:num>
  <w:num w:numId="43">
    <w:abstractNumId w:val="35"/>
  </w:num>
  <w:num w:numId="44">
    <w:abstractNumId w:val="32"/>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num>
  <w:num w:numId="47">
    <w:abstractNumId w:val="3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17832"/>
    <w:rsid w:val="0002531D"/>
    <w:rsid w:val="0002564D"/>
    <w:rsid w:val="00025ECA"/>
    <w:rsid w:val="0002781E"/>
    <w:rsid w:val="000325B8"/>
    <w:rsid w:val="00034C15"/>
    <w:rsid w:val="00036BA1"/>
    <w:rsid w:val="00036F3C"/>
    <w:rsid w:val="000422E2"/>
    <w:rsid w:val="00042F22"/>
    <w:rsid w:val="00043732"/>
    <w:rsid w:val="000442C7"/>
    <w:rsid w:val="000444EF"/>
    <w:rsid w:val="0004742A"/>
    <w:rsid w:val="00052A07"/>
    <w:rsid w:val="000534E3"/>
    <w:rsid w:val="0005606A"/>
    <w:rsid w:val="00057117"/>
    <w:rsid w:val="00057DA6"/>
    <w:rsid w:val="000616E7"/>
    <w:rsid w:val="0006310C"/>
    <w:rsid w:val="0006487E"/>
    <w:rsid w:val="00065E1A"/>
    <w:rsid w:val="00073EE8"/>
    <w:rsid w:val="00077E5F"/>
    <w:rsid w:val="0008036A"/>
    <w:rsid w:val="00081AE6"/>
    <w:rsid w:val="000855EB"/>
    <w:rsid w:val="00085B52"/>
    <w:rsid w:val="000866F2"/>
    <w:rsid w:val="0009009F"/>
    <w:rsid w:val="00091557"/>
    <w:rsid w:val="000923FC"/>
    <w:rsid w:val="000924C1"/>
    <w:rsid w:val="000924F0"/>
    <w:rsid w:val="00093474"/>
    <w:rsid w:val="0009510F"/>
    <w:rsid w:val="00097486"/>
    <w:rsid w:val="000A1B7B"/>
    <w:rsid w:val="000A56F2"/>
    <w:rsid w:val="000B2719"/>
    <w:rsid w:val="000B3A8F"/>
    <w:rsid w:val="000B4AB9"/>
    <w:rsid w:val="000B58C3"/>
    <w:rsid w:val="000B61E9"/>
    <w:rsid w:val="000C165A"/>
    <w:rsid w:val="000C1A48"/>
    <w:rsid w:val="000C2E19"/>
    <w:rsid w:val="000C3E85"/>
    <w:rsid w:val="000C4D29"/>
    <w:rsid w:val="000D0D07"/>
    <w:rsid w:val="000D1EED"/>
    <w:rsid w:val="000D4797"/>
    <w:rsid w:val="000D5279"/>
    <w:rsid w:val="000E0527"/>
    <w:rsid w:val="000E1E92"/>
    <w:rsid w:val="000F06D6"/>
    <w:rsid w:val="000F0EB1"/>
    <w:rsid w:val="000F1106"/>
    <w:rsid w:val="000F3BE9"/>
    <w:rsid w:val="000F3F6C"/>
    <w:rsid w:val="000F6DF3"/>
    <w:rsid w:val="001005FF"/>
    <w:rsid w:val="001062FB"/>
    <w:rsid w:val="001063E6"/>
    <w:rsid w:val="00107CC6"/>
    <w:rsid w:val="00113CF4"/>
    <w:rsid w:val="001153EA"/>
    <w:rsid w:val="00115643"/>
    <w:rsid w:val="00116765"/>
    <w:rsid w:val="001219F5"/>
    <w:rsid w:val="00121A20"/>
    <w:rsid w:val="0012377F"/>
    <w:rsid w:val="00124314"/>
    <w:rsid w:val="00126B4A"/>
    <w:rsid w:val="0013228C"/>
    <w:rsid w:val="00132FD0"/>
    <w:rsid w:val="001344C0"/>
    <w:rsid w:val="00134676"/>
    <w:rsid w:val="001346FA"/>
    <w:rsid w:val="00135252"/>
    <w:rsid w:val="00137AB5"/>
    <w:rsid w:val="00137F0B"/>
    <w:rsid w:val="0014229A"/>
    <w:rsid w:val="001441B2"/>
    <w:rsid w:val="00151170"/>
    <w:rsid w:val="00151E23"/>
    <w:rsid w:val="001521A7"/>
    <w:rsid w:val="001521E4"/>
    <w:rsid w:val="0015256D"/>
    <w:rsid w:val="001526E0"/>
    <w:rsid w:val="001551B5"/>
    <w:rsid w:val="001659C1"/>
    <w:rsid w:val="00170766"/>
    <w:rsid w:val="00173A8E"/>
    <w:rsid w:val="00177795"/>
    <w:rsid w:val="0018143F"/>
    <w:rsid w:val="0018464F"/>
    <w:rsid w:val="001903C7"/>
    <w:rsid w:val="00190AC1"/>
    <w:rsid w:val="0019341A"/>
    <w:rsid w:val="00197DF9"/>
    <w:rsid w:val="001A1987"/>
    <w:rsid w:val="001A2564"/>
    <w:rsid w:val="001A6173"/>
    <w:rsid w:val="001A6CBA"/>
    <w:rsid w:val="001B0D97"/>
    <w:rsid w:val="001B3D65"/>
    <w:rsid w:val="001B5A5D"/>
    <w:rsid w:val="001C182F"/>
    <w:rsid w:val="001C1CE5"/>
    <w:rsid w:val="001C3D2A"/>
    <w:rsid w:val="001C5462"/>
    <w:rsid w:val="001D36C9"/>
    <w:rsid w:val="001D51BA"/>
    <w:rsid w:val="001D6342"/>
    <w:rsid w:val="001D6D53"/>
    <w:rsid w:val="001E58E2"/>
    <w:rsid w:val="001E7AED"/>
    <w:rsid w:val="001F1A25"/>
    <w:rsid w:val="001F3916"/>
    <w:rsid w:val="001F3B8C"/>
    <w:rsid w:val="001F4D28"/>
    <w:rsid w:val="001F54C5"/>
    <w:rsid w:val="001F662C"/>
    <w:rsid w:val="001F7074"/>
    <w:rsid w:val="00200490"/>
    <w:rsid w:val="00201F3A"/>
    <w:rsid w:val="00203F96"/>
    <w:rsid w:val="002069B2"/>
    <w:rsid w:val="00207FA3"/>
    <w:rsid w:val="00214DA8"/>
    <w:rsid w:val="00214E23"/>
    <w:rsid w:val="00215423"/>
    <w:rsid w:val="002158FA"/>
    <w:rsid w:val="00216C19"/>
    <w:rsid w:val="00220600"/>
    <w:rsid w:val="002224DB"/>
    <w:rsid w:val="00223FCB"/>
    <w:rsid w:val="002252C3"/>
    <w:rsid w:val="00225C54"/>
    <w:rsid w:val="00230765"/>
    <w:rsid w:val="002319E4"/>
    <w:rsid w:val="002338CF"/>
    <w:rsid w:val="00233E7A"/>
    <w:rsid w:val="00235632"/>
    <w:rsid w:val="00235872"/>
    <w:rsid w:val="00241559"/>
    <w:rsid w:val="002435B3"/>
    <w:rsid w:val="002458EB"/>
    <w:rsid w:val="00247DD7"/>
    <w:rsid w:val="002500C8"/>
    <w:rsid w:val="002546AE"/>
    <w:rsid w:val="00257155"/>
    <w:rsid w:val="00257543"/>
    <w:rsid w:val="00260FDC"/>
    <w:rsid w:val="00261128"/>
    <w:rsid w:val="002617E7"/>
    <w:rsid w:val="00264228"/>
    <w:rsid w:val="00264334"/>
    <w:rsid w:val="0026473E"/>
    <w:rsid w:val="00266214"/>
    <w:rsid w:val="00267C83"/>
    <w:rsid w:val="0027144F"/>
    <w:rsid w:val="00271F3A"/>
    <w:rsid w:val="00273278"/>
    <w:rsid w:val="002737F4"/>
    <w:rsid w:val="00273EB2"/>
    <w:rsid w:val="002805F5"/>
    <w:rsid w:val="00280751"/>
    <w:rsid w:val="0028280A"/>
    <w:rsid w:val="0028318F"/>
    <w:rsid w:val="00283D64"/>
    <w:rsid w:val="002867E8"/>
    <w:rsid w:val="00286ACD"/>
    <w:rsid w:val="00287838"/>
    <w:rsid w:val="002907B5"/>
    <w:rsid w:val="00292EB7"/>
    <w:rsid w:val="00296227"/>
    <w:rsid w:val="00296F44"/>
    <w:rsid w:val="0029777D"/>
    <w:rsid w:val="002A055E"/>
    <w:rsid w:val="002A1D4E"/>
    <w:rsid w:val="002A2869"/>
    <w:rsid w:val="002B24D6"/>
    <w:rsid w:val="002B34F3"/>
    <w:rsid w:val="002B61F9"/>
    <w:rsid w:val="002C321F"/>
    <w:rsid w:val="002C41E6"/>
    <w:rsid w:val="002C5BA4"/>
    <w:rsid w:val="002C5C29"/>
    <w:rsid w:val="002D071A"/>
    <w:rsid w:val="002D2BA4"/>
    <w:rsid w:val="002D34B2"/>
    <w:rsid w:val="002D72CA"/>
    <w:rsid w:val="002D7637"/>
    <w:rsid w:val="002E1695"/>
    <w:rsid w:val="002E17F2"/>
    <w:rsid w:val="002E7CAE"/>
    <w:rsid w:val="002F10D5"/>
    <w:rsid w:val="002F2771"/>
    <w:rsid w:val="002F37A9"/>
    <w:rsid w:val="002F7CED"/>
    <w:rsid w:val="00300D3A"/>
    <w:rsid w:val="00301CE6"/>
    <w:rsid w:val="0030256B"/>
    <w:rsid w:val="0030501F"/>
    <w:rsid w:val="00307BA1"/>
    <w:rsid w:val="00310372"/>
    <w:rsid w:val="00310446"/>
    <w:rsid w:val="00311702"/>
    <w:rsid w:val="00311E82"/>
    <w:rsid w:val="00313FD6"/>
    <w:rsid w:val="003142DD"/>
    <w:rsid w:val="003143BD"/>
    <w:rsid w:val="003203ED"/>
    <w:rsid w:val="00322C9F"/>
    <w:rsid w:val="003230CE"/>
    <w:rsid w:val="00324895"/>
    <w:rsid w:val="00324D23"/>
    <w:rsid w:val="00331751"/>
    <w:rsid w:val="00334579"/>
    <w:rsid w:val="00335858"/>
    <w:rsid w:val="00336BDA"/>
    <w:rsid w:val="00342BD7"/>
    <w:rsid w:val="00343A07"/>
    <w:rsid w:val="00346DB5"/>
    <w:rsid w:val="003477B1"/>
    <w:rsid w:val="00356D8E"/>
    <w:rsid w:val="00357380"/>
    <w:rsid w:val="003602D9"/>
    <w:rsid w:val="003604CE"/>
    <w:rsid w:val="00362172"/>
    <w:rsid w:val="003638B8"/>
    <w:rsid w:val="00370E47"/>
    <w:rsid w:val="00371DED"/>
    <w:rsid w:val="00373E6B"/>
    <w:rsid w:val="003742AC"/>
    <w:rsid w:val="00374664"/>
    <w:rsid w:val="00377CE1"/>
    <w:rsid w:val="003836AF"/>
    <w:rsid w:val="003852E3"/>
    <w:rsid w:val="00385BF0"/>
    <w:rsid w:val="003939FF"/>
    <w:rsid w:val="00396560"/>
    <w:rsid w:val="003A2223"/>
    <w:rsid w:val="003A2A0F"/>
    <w:rsid w:val="003A45A1"/>
    <w:rsid w:val="003A5B0A"/>
    <w:rsid w:val="003A6BAC"/>
    <w:rsid w:val="003A74AF"/>
    <w:rsid w:val="003A7EF3"/>
    <w:rsid w:val="003B159C"/>
    <w:rsid w:val="003B369F"/>
    <w:rsid w:val="003B36A3"/>
    <w:rsid w:val="003B7666"/>
    <w:rsid w:val="003B7FE5"/>
    <w:rsid w:val="003C11C8"/>
    <w:rsid w:val="003C2702"/>
    <w:rsid w:val="003C7806"/>
    <w:rsid w:val="003D109F"/>
    <w:rsid w:val="003D2478"/>
    <w:rsid w:val="003D2614"/>
    <w:rsid w:val="003D3C45"/>
    <w:rsid w:val="003D5B1F"/>
    <w:rsid w:val="003E15FA"/>
    <w:rsid w:val="003E4275"/>
    <w:rsid w:val="003E55E4"/>
    <w:rsid w:val="003E5B17"/>
    <w:rsid w:val="003E74E3"/>
    <w:rsid w:val="003F05C7"/>
    <w:rsid w:val="003F14F2"/>
    <w:rsid w:val="003F2CD4"/>
    <w:rsid w:val="003F4369"/>
    <w:rsid w:val="003F6BBE"/>
    <w:rsid w:val="004000E8"/>
    <w:rsid w:val="00400778"/>
    <w:rsid w:val="00402E2B"/>
    <w:rsid w:val="00404494"/>
    <w:rsid w:val="0040512B"/>
    <w:rsid w:val="00405CA5"/>
    <w:rsid w:val="004076DD"/>
    <w:rsid w:val="00407CD3"/>
    <w:rsid w:val="00407F34"/>
    <w:rsid w:val="00410134"/>
    <w:rsid w:val="00410B72"/>
    <w:rsid w:val="00410ECC"/>
    <w:rsid w:val="00410F18"/>
    <w:rsid w:val="004123DE"/>
    <w:rsid w:val="0041263E"/>
    <w:rsid w:val="00413A0F"/>
    <w:rsid w:val="00413AAC"/>
    <w:rsid w:val="00421105"/>
    <w:rsid w:val="004242F4"/>
    <w:rsid w:val="00424D4C"/>
    <w:rsid w:val="00427248"/>
    <w:rsid w:val="00437447"/>
    <w:rsid w:val="00441A92"/>
    <w:rsid w:val="00441F90"/>
    <w:rsid w:val="00442A96"/>
    <w:rsid w:val="00444F56"/>
    <w:rsid w:val="00446488"/>
    <w:rsid w:val="0045109F"/>
    <w:rsid w:val="004517AA"/>
    <w:rsid w:val="00452CAC"/>
    <w:rsid w:val="00457565"/>
    <w:rsid w:val="00457B71"/>
    <w:rsid w:val="00462379"/>
    <w:rsid w:val="004669E2"/>
    <w:rsid w:val="00470C31"/>
    <w:rsid w:val="004734D0"/>
    <w:rsid w:val="0047556B"/>
    <w:rsid w:val="00477768"/>
    <w:rsid w:val="00484F96"/>
    <w:rsid w:val="00492BC5"/>
    <w:rsid w:val="00492C09"/>
    <w:rsid w:val="00494F17"/>
    <w:rsid w:val="004964F1"/>
    <w:rsid w:val="004A16BC"/>
    <w:rsid w:val="004A1ED3"/>
    <w:rsid w:val="004A2B94"/>
    <w:rsid w:val="004A4BBE"/>
    <w:rsid w:val="004B2527"/>
    <w:rsid w:val="004B3E4C"/>
    <w:rsid w:val="004B7C0C"/>
    <w:rsid w:val="004C0124"/>
    <w:rsid w:val="004C3898"/>
    <w:rsid w:val="004D2A8B"/>
    <w:rsid w:val="004D36B1"/>
    <w:rsid w:val="004D56C5"/>
    <w:rsid w:val="004D7D36"/>
    <w:rsid w:val="004D7EBD"/>
    <w:rsid w:val="004E2680"/>
    <w:rsid w:val="004E28F9"/>
    <w:rsid w:val="004E462E"/>
    <w:rsid w:val="004E56DC"/>
    <w:rsid w:val="004E5C30"/>
    <w:rsid w:val="004E76F4"/>
    <w:rsid w:val="004F047B"/>
    <w:rsid w:val="004F0B4E"/>
    <w:rsid w:val="004F0B6C"/>
    <w:rsid w:val="004F2078"/>
    <w:rsid w:val="004F2D54"/>
    <w:rsid w:val="004F4DA3"/>
    <w:rsid w:val="004F5563"/>
    <w:rsid w:val="00506557"/>
    <w:rsid w:val="0050677A"/>
    <w:rsid w:val="005074B2"/>
    <w:rsid w:val="005108D8"/>
    <w:rsid w:val="005116F9"/>
    <w:rsid w:val="0051420E"/>
    <w:rsid w:val="005153A7"/>
    <w:rsid w:val="005219CF"/>
    <w:rsid w:val="00523DAE"/>
    <w:rsid w:val="005246FF"/>
    <w:rsid w:val="005303BB"/>
    <w:rsid w:val="00532CEB"/>
    <w:rsid w:val="00534B59"/>
    <w:rsid w:val="00536759"/>
    <w:rsid w:val="00537C62"/>
    <w:rsid w:val="00541B5E"/>
    <w:rsid w:val="00546970"/>
    <w:rsid w:val="00547F4D"/>
    <w:rsid w:val="00550419"/>
    <w:rsid w:val="00554E19"/>
    <w:rsid w:val="00560A1D"/>
    <w:rsid w:val="0056121F"/>
    <w:rsid w:val="00572505"/>
    <w:rsid w:val="00582809"/>
    <w:rsid w:val="0058798C"/>
    <w:rsid w:val="005900FA"/>
    <w:rsid w:val="005935A4"/>
    <w:rsid w:val="005948C2"/>
    <w:rsid w:val="00595DCA"/>
    <w:rsid w:val="0059779B"/>
    <w:rsid w:val="005A1488"/>
    <w:rsid w:val="005A209A"/>
    <w:rsid w:val="005A662D"/>
    <w:rsid w:val="005B35D7"/>
    <w:rsid w:val="005B392A"/>
    <w:rsid w:val="005B3AA3"/>
    <w:rsid w:val="005B6F83"/>
    <w:rsid w:val="005C218A"/>
    <w:rsid w:val="005C609D"/>
    <w:rsid w:val="005C74FB"/>
    <w:rsid w:val="005D1602"/>
    <w:rsid w:val="005D1FA3"/>
    <w:rsid w:val="005D6188"/>
    <w:rsid w:val="005E385F"/>
    <w:rsid w:val="005E5B81"/>
    <w:rsid w:val="005F2CB1"/>
    <w:rsid w:val="005F3025"/>
    <w:rsid w:val="005F52C2"/>
    <w:rsid w:val="005F618C"/>
    <w:rsid w:val="005F70BD"/>
    <w:rsid w:val="0060183A"/>
    <w:rsid w:val="00601945"/>
    <w:rsid w:val="0060283C"/>
    <w:rsid w:val="00604698"/>
    <w:rsid w:val="00604F14"/>
    <w:rsid w:val="00611B83"/>
    <w:rsid w:val="0061287E"/>
    <w:rsid w:val="00613257"/>
    <w:rsid w:val="00620A71"/>
    <w:rsid w:val="00620D80"/>
    <w:rsid w:val="006212A9"/>
    <w:rsid w:val="006234A6"/>
    <w:rsid w:val="00623CDC"/>
    <w:rsid w:val="00630001"/>
    <w:rsid w:val="006311B3"/>
    <w:rsid w:val="0063284C"/>
    <w:rsid w:val="00636398"/>
    <w:rsid w:val="006368D3"/>
    <w:rsid w:val="006377EC"/>
    <w:rsid w:val="0064151F"/>
    <w:rsid w:val="00641533"/>
    <w:rsid w:val="0064208D"/>
    <w:rsid w:val="00643475"/>
    <w:rsid w:val="0064396A"/>
    <w:rsid w:val="0064624E"/>
    <w:rsid w:val="00650AB9"/>
    <w:rsid w:val="00654B6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2AE"/>
    <w:rsid w:val="006741F2"/>
    <w:rsid w:val="00674CC3"/>
    <w:rsid w:val="00675C72"/>
    <w:rsid w:val="006771F9"/>
    <w:rsid w:val="006776D7"/>
    <w:rsid w:val="00681003"/>
    <w:rsid w:val="006817C9"/>
    <w:rsid w:val="006829CC"/>
    <w:rsid w:val="00683B2E"/>
    <w:rsid w:val="00683ECE"/>
    <w:rsid w:val="00686B12"/>
    <w:rsid w:val="00687AF4"/>
    <w:rsid w:val="0069247B"/>
    <w:rsid w:val="006934A5"/>
    <w:rsid w:val="00694BDA"/>
    <w:rsid w:val="00695FC2"/>
    <w:rsid w:val="00696949"/>
    <w:rsid w:val="00696DBF"/>
    <w:rsid w:val="00697052"/>
    <w:rsid w:val="00697F64"/>
    <w:rsid w:val="006A395D"/>
    <w:rsid w:val="006A46FB"/>
    <w:rsid w:val="006A5E28"/>
    <w:rsid w:val="006A697B"/>
    <w:rsid w:val="006A7AFF"/>
    <w:rsid w:val="006B1816"/>
    <w:rsid w:val="006B2099"/>
    <w:rsid w:val="006B3CD5"/>
    <w:rsid w:val="006B4B28"/>
    <w:rsid w:val="006B50CF"/>
    <w:rsid w:val="006B5B0F"/>
    <w:rsid w:val="006B5BA8"/>
    <w:rsid w:val="006B6AB4"/>
    <w:rsid w:val="006C03B8"/>
    <w:rsid w:val="006C0E56"/>
    <w:rsid w:val="006C385E"/>
    <w:rsid w:val="006C5EC9"/>
    <w:rsid w:val="006C6059"/>
    <w:rsid w:val="006C716E"/>
    <w:rsid w:val="006C7522"/>
    <w:rsid w:val="006D6F08"/>
    <w:rsid w:val="006E062C"/>
    <w:rsid w:val="006E28B7"/>
    <w:rsid w:val="006E3310"/>
    <w:rsid w:val="006E4826"/>
    <w:rsid w:val="006E4E39"/>
    <w:rsid w:val="006E565E"/>
    <w:rsid w:val="006E673D"/>
    <w:rsid w:val="006E7D3B"/>
    <w:rsid w:val="006F0378"/>
    <w:rsid w:val="006F1B70"/>
    <w:rsid w:val="006F341D"/>
    <w:rsid w:val="006F3CDE"/>
    <w:rsid w:val="006F58D4"/>
    <w:rsid w:val="0070346E"/>
    <w:rsid w:val="00704EDB"/>
    <w:rsid w:val="00705889"/>
    <w:rsid w:val="00706101"/>
    <w:rsid w:val="007063A6"/>
    <w:rsid w:val="00707072"/>
    <w:rsid w:val="00707D61"/>
    <w:rsid w:val="00712287"/>
    <w:rsid w:val="00712772"/>
    <w:rsid w:val="007148D3"/>
    <w:rsid w:val="00715B9A"/>
    <w:rsid w:val="00725E61"/>
    <w:rsid w:val="00726EA6"/>
    <w:rsid w:val="00727208"/>
    <w:rsid w:val="00727680"/>
    <w:rsid w:val="00732461"/>
    <w:rsid w:val="00733D95"/>
    <w:rsid w:val="007348B1"/>
    <w:rsid w:val="007362A6"/>
    <w:rsid w:val="00736D7D"/>
    <w:rsid w:val="00740E58"/>
    <w:rsid w:val="007417EA"/>
    <w:rsid w:val="007445A0"/>
    <w:rsid w:val="0074524B"/>
    <w:rsid w:val="00747D8B"/>
    <w:rsid w:val="00751228"/>
    <w:rsid w:val="0075600C"/>
    <w:rsid w:val="007571E1"/>
    <w:rsid w:val="007604B2"/>
    <w:rsid w:val="00760F52"/>
    <w:rsid w:val="00765281"/>
    <w:rsid w:val="00766BAD"/>
    <w:rsid w:val="007730BD"/>
    <w:rsid w:val="007755F2"/>
    <w:rsid w:val="00776604"/>
    <w:rsid w:val="00776971"/>
    <w:rsid w:val="0078177E"/>
    <w:rsid w:val="0078304C"/>
    <w:rsid w:val="00783673"/>
    <w:rsid w:val="0078434C"/>
    <w:rsid w:val="00785490"/>
    <w:rsid w:val="007925EA"/>
    <w:rsid w:val="00792E16"/>
    <w:rsid w:val="00793CD8"/>
    <w:rsid w:val="00795C92"/>
    <w:rsid w:val="00796231"/>
    <w:rsid w:val="007A1CB3"/>
    <w:rsid w:val="007A1EDF"/>
    <w:rsid w:val="007A2974"/>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BCA"/>
    <w:rsid w:val="007D7526"/>
    <w:rsid w:val="007E09D7"/>
    <w:rsid w:val="007E4610"/>
    <w:rsid w:val="007E4715"/>
    <w:rsid w:val="007E505B"/>
    <w:rsid w:val="007E7091"/>
    <w:rsid w:val="00803FAE"/>
    <w:rsid w:val="0080605F"/>
    <w:rsid w:val="00807786"/>
    <w:rsid w:val="00811FCB"/>
    <w:rsid w:val="008132A9"/>
    <w:rsid w:val="008158D6"/>
    <w:rsid w:val="00817196"/>
    <w:rsid w:val="00817B8B"/>
    <w:rsid w:val="00820FFB"/>
    <w:rsid w:val="008235DB"/>
    <w:rsid w:val="00824AB4"/>
    <w:rsid w:val="00825C42"/>
    <w:rsid w:val="00825D25"/>
    <w:rsid w:val="00827D6F"/>
    <w:rsid w:val="00833B14"/>
    <w:rsid w:val="00836E6C"/>
    <w:rsid w:val="008376AC"/>
    <w:rsid w:val="008404C9"/>
    <w:rsid w:val="008421A5"/>
    <w:rsid w:val="008444E8"/>
    <w:rsid w:val="00844E80"/>
    <w:rsid w:val="00846FE7"/>
    <w:rsid w:val="00855B8A"/>
    <w:rsid w:val="00856911"/>
    <w:rsid w:val="008677FD"/>
    <w:rsid w:val="008706D4"/>
    <w:rsid w:val="00870F8A"/>
    <w:rsid w:val="008719A4"/>
    <w:rsid w:val="00871D23"/>
    <w:rsid w:val="0087249B"/>
    <w:rsid w:val="00874312"/>
    <w:rsid w:val="0087437C"/>
    <w:rsid w:val="00875CD7"/>
    <w:rsid w:val="00876B4D"/>
    <w:rsid w:val="00877F18"/>
    <w:rsid w:val="00894A88"/>
    <w:rsid w:val="00895386"/>
    <w:rsid w:val="008A21FF"/>
    <w:rsid w:val="008A2CE2"/>
    <w:rsid w:val="008A30AC"/>
    <w:rsid w:val="008A44B8"/>
    <w:rsid w:val="008A460B"/>
    <w:rsid w:val="008A51A8"/>
    <w:rsid w:val="008A54C7"/>
    <w:rsid w:val="008A69BB"/>
    <w:rsid w:val="008A77D8"/>
    <w:rsid w:val="008B0483"/>
    <w:rsid w:val="008B120C"/>
    <w:rsid w:val="008B41AD"/>
    <w:rsid w:val="008B51A0"/>
    <w:rsid w:val="008B592A"/>
    <w:rsid w:val="008B7B5C"/>
    <w:rsid w:val="008C0C99"/>
    <w:rsid w:val="008C2017"/>
    <w:rsid w:val="008C4199"/>
    <w:rsid w:val="008C4958"/>
    <w:rsid w:val="008C4BAA"/>
    <w:rsid w:val="008C6AE8"/>
    <w:rsid w:val="008C7573"/>
    <w:rsid w:val="008D34F1"/>
    <w:rsid w:val="008D39D8"/>
    <w:rsid w:val="008D4FAC"/>
    <w:rsid w:val="008D6D1A"/>
    <w:rsid w:val="008D6F5B"/>
    <w:rsid w:val="008E065E"/>
    <w:rsid w:val="008E0927"/>
    <w:rsid w:val="008E1909"/>
    <w:rsid w:val="008E3E7E"/>
    <w:rsid w:val="008E510D"/>
    <w:rsid w:val="008E51C2"/>
    <w:rsid w:val="008F1EAB"/>
    <w:rsid w:val="008F2DE1"/>
    <w:rsid w:val="008F33DC"/>
    <w:rsid w:val="008F477F"/>
    <w:rsid w:val="008F4E85"/>
    <w:rsid w:val="008F7F01"/>
    <w:rsid w:val="00902350"/>
    <w:rsid w:val="0090336B"/>
    <w:rsid w:val="00905065"/>
    <w:rsid w:val="009053AA"/>
    <w:rsid w:val="00906939"/>
    <w:rsid w:val="00910B7D"/>
    <w:rsid w:val="00911DFB"/>
    <w:rsid w:val="009139D9"/>
    <w:rsid w:val="00914AD8"/>
    <w:rsid w:val="00916079"/>
    <w:rsid w:val="00917CE9"/>
    <w:rsid w:val="00920BF2"/>
    <w:rsid w:val="00922010"/>
    <w:rsid w:val="00931BD9"/>
    <w:rsid w:val="009368F3"/>
    <w:rsid w:val="00941636"/>
    <w:rsid w:val="00942ECC"/>
    <w:rsid w:val="00943742"/>
    <w:rsid w:val="00945C05"/>
    <w:rsid w:val="00946945"/>
    <w:rsid w:val="00946E31"/>
    <w:rsid w:val="00947713"/>
    <w:rsid w:val="00950DE7"/>
    <w:rsid w:val="00953920"/>
    <w:rsid w:val="00953D47"/>
    <w:rsid w:val="009545E5"/>
    <w:rsid w:val="00954983"/>
    <w:rsid w:val="0095681E"/>
    <w:rsid w:val="009572D4"/>
    <w:rsid w:val="00961921"/>
    <w:rsid w:val="0096430A"/>
    <w:rsid w:val="0096554B"/>
    <w:rsid w:val="0096584A"/>
    <w:rsid w:val="0096696C"/>
    <w:rsid w:val="00971F08"/>
    <w:rsid w:val="00973B0F"/>
    <w:rsid w:val="00974590"/>
    <w:rsid w:val="0097603D"/>
    <w:rsid w:val="00976949"/>
    <w:rsid w:val="00976DB3"/>
    <w:rsid w:val="00980477"/>
    <w:rsid w:val="009813CD"/>
    <w:rsid w:val="00985253"/>
    <w:rsid w:val="009853B3"/>
    <w:rsid w:val="00987333"/>
    <w:rsid w:val="00990630"/>
    <w:rsid w:val="00991761"/>
    <w:rsid w:val="00994DCA"/>
    <w:rsid w:val="009960EC"/>
    <w:rsid w:val="00996F45"/>
    <w:rsid w:val="009970DD"/>
    <w:rsid w:val="009A0FBA"/>
    <w:rsid w:val="009A1601"/>
    <w:rsid w:val="009A462D"/>
    <w:rsid w:val="009A5CBA"/>
    <w:rsid w:val="009B1027"/>
    <w:rsid w:val="009B1F30"/>
    <w:rsid w:val="009B2FBA"/>
    <w:rsid w:val="009B3AC2"/>
    <w:rsid w:val="009B4DF4"/>
    <w:rsid w:val="009B564E"/>
    <w:rsid w:val="009B64E5"/>
    <w:rsid w:val="009B69CF"/>
    <w:rsid w:val="009B7E87"/>
    <w:rsid w:val="009C403E"/>
    <w:rsid w:val="009D2095"/>
    <w:rsid w:val="009D4FF0"/>
    <w:rsid w:val="009D703C"/>
    <w:rsid w:val="009D718F"/>
    <w:rsid w:val="009D75AC"/>
    <w:rsid w:val="009E068F"/>
    <w:rsid w:val="009E14E0"/>
    <w:rsid w:val="009E1870"/>
    <w:rsid w:val="009E35DB"/>
    <w:rsid w:val="009E47A3"/>
    <w:rsid w:val="009F08F3"/>
    <w:rsid w:val="009F344F"/>
    <w:rsid w:val="009F63EF"/>
    <w:rsid w:val="009F6B2F"/>
    <w:rsid w:val="009F6DAD"/>
    <w:rsid w:val="00A048A8"/>
    <w:rsid w:val="00A04F49"/>
    <w:rsid w:val="00A11199"/>
    <w:rsid w:val="00A13E54"/>
    <w:rsid w:val="00A164AA"/>
    <w:rsid w:val="00A17F63"/>
    <w:rsid w:val="00A2193B"/>
    <w:rsid w:val="00A2351A"/>
    <w:rsid w:val="00A264A9"/>
    <w:rsid w:val="00A27785"/>
    <w:rsid w:val="00A30187"/>
    <w:rsid w:val="00A3296F"/>
    <w:rsid w:val="00A3448A"/>
    <w:rsid w:val="00A35693"/>
    <w:rsid w:val="00A36297"/>
    <w:rsid w:val="00A36A65"/>
    <w:rsid w:val="00A41E2B"/>
    <w:rsid w:val="00A43C14"/>
    <w:rsid w:val="00A43F99"/>
    <w:rsid w:val="00A45B74"/>
    <w:rsid w:val="00A51349"/>
    <w:rsid w:val="00A51FC3"/>
    <w:rsid w:val="00A52E1D"/>
    <w:rsid w:val="00A61499"/>
    <w:rsid w:val="00A61A91"/>
    <w:rsid w:val="00A62A77"/>
    <w:rsid w:val="00A63483"/>
    <w:rsid w:val="00A657D7"/>
    <w:rsid w:val="00A660AC"/>
    <w:rsid w:val="00A67E6C"/>
    <w:rsid w:val="00A71B99"/>
    <w:rsid w:val="00A739D0"/>
    <w:rsid w:val="00A747BA"/>
    <w:rsid w:val="00A74BE5"/>
    <w:rsid w:val="00A761D4"/>
    <w:rsid w:val="00A76C68"/>
    <w:rsid w:val="00A77EC4"/>
    <w:rsid w:val="00A86C1C"/>
    <w:rsid w:val="00A91B24"/>
    <w:rsid w:val="00A92879"/>
    <w:rsid w:val="00A93178"/>
    <w:rsid w:val="00A9442A"/>
    <w:rsid w:val="00A96462"/>
    <w:rsid w:val="00AA016F"/>
    <w:rsid w:val="00AA1ED6"/>
    <w:rsid w:val="00AA51D6"/>
    <w:rsid w:val="00AA5ED1"/>
    <w:rsid w:val="00AB0BC8"/>
    <w:rsid w:val="00AB11CA"/>
    <w:rsid w:val="00AB14D9"/>
    <w:rsid w:val="00AB44FC"/>
    <w:rsid w:val="00AB4AB8"/>
    <w:rsid w:val="00AB655E"/>
    <w:rsid w:val="00AB7926"/>
    <w:rsid w:val="00AC007F"/>
    <w:rsid w:val="00AC2ECD"/>
    <w:rsid w:val="00AC3119"/>
    <w:rsid w:val="00AC49FB"/>
    <w:rsid w:val="00AC5A10"/>
    <w:rsid w:val="00AD0AA3"/>
    <w:rsid w:val="00AD3F94"/>
    <w:rsid w:val="00AD4A5A"/>
    <w:rsid w:val="00AD7888"/>
    <w:rsid w:val="00AE0D94"/>
    <w:rsid w:val="00AE27AC"/>
    <w:rsid w:val="00AE2834"/>
    <w:rsid w:val="00AE40E0"/>
    <w:rsid w:val="00AE4DBA"/>
    <w:rsid w:val="00AE4F07"/>
    <w:rsid w:val="00AF02D0"/>
    <w:rsid w:val="00AF1C5D"/>
    <w:rsid w:val="00AF42D7"/>
    <w:rsid w:val="00AF51E5"/>
    <w:rsid w:val="00B006FE"/>
    <w:rsid w:val="00B007CB"/>
    <w:rsid w:val="00B02AA9"/>
    <w:rsid w:val="00B02FA3"/>
    <w:rsid w:val="00B05084"/>
    <w:rsid w:val="00B1298A"/>
    <w:rsid w:val="00B157F9"/>
    <w:rsid w:val="00B20256"/>
    <w:rsid w:val="00B20D09"/>
    <w:rsid w:val="00B22757"/>
    <w:rsid w:val="00B23D17"/>
    <w:rsid w:val="00B2763F"/>
    <w:rsid w:val="00B27AAC"/>
    <w:rsid w:val="00B304F3"/>
    <w:rsid w:val="00B30929"/>
    <w:rsid w:val="00B33D75"/>
    <w:rsid w:val="00B372AA"/>
    <w:rsid w:val="00B40445"/>
    <w:rsid w:val="00B40BEF"/>
    <w:rsid w:val="00B41888"/>
    <w:rsid w:val="00B4457C"/>
    <w:rsid w:val="00B45A52"/>
    <w:rsid w:val="00B46175"/>
    <w:rsid w:val="00B466DC"/>
    <w:rsid w:val="00B512B1"/>
    <w:rsid w:val="00B53EE8"/>
    <w:rsid w:val="00B560BB"/>
    <w:rsid w:val="00B607E3"/>
    <w:rsid w:val="00B6188F"/>
    <w:rsid w:val="00B664C7"/>
    <w:rsid w:val="00B739F6"/>
    <w:rsid w:val="00B74964"/>
    <w:rsid w:val="00B81A6C"/>
    <w:rsid w:val="00B85DE5"/>
    <w:rsid w:val="00B90F73"/>
    <w:rsid w:val="00B93B59"/>
    <w:rsid w:val="00B9406A"/>
    <w:rsid w:val="00B97752"/>
    <w:rsid w:val="00BA2280"/>
    <w:rsid w:val="00BA2A08"/>
    <w:rsid w:val="00BA315E"/>
    <w:rsid w:val="00BA56D2"/>
    <w:rsid w:val="00BA76E0"/>
    <w:rsid w:val="00BB2A25"/>
    <w:rsid w:val="00BB51E9"/>
    <w:rsid w:val="00BC0FDC"/>
    <w:rsid w:val="00BC3053"/>
    <w:rsid w:val="00BC4473"/>
    <w:rsid w:val="00BC4D2E"/>
    <w:rsid w:val="00BD01C1"/>
    <w:rsid w:val="00BD3012"/>
    <w:rsid w:val="00BD48AC"/>
    <w:rsid w:val="00BD5F1A"/>
    <w:rsid w:val="00BE1234"/>
    <w:rsid w:val="00BE2FA6"/>
    <w:rsid w:val="00BE333F"/>
    <w:rsid w:val="00BE3B75"/>
    <w:rsid w:val="00BE5705"/>
    <w:rsid w:val="00BE7406"/>
    <w:rsid w:val="00BE7603"/>
    <w:rsid w:val="00BF3279"/>
    <w:rsid w:val="00BF74C7"/>
    <w:rsid w:val="00C015F1"/>
    <w:rsid w:val="00C01F33"/>
    <w:rsid w:val="00C02443"/>
    <w:rsid w:val="00C02CC6"/>
    <w:rsid w:val="00C040F7"/>
    <w:rsid w:val="00C041B0"/>
    <w:rsid w:val="00C044AB"/>
    <w:rsid w:val="00C05642"/>
    <w:rsid w:val="00C05706"/>
    <w:rsid w:val="00C07377"/>
    <w:rsid w:val="00C10478"/>
    <w:rsid w:val="00C120FC"/>
    <w:rsid w:val="00C12107"/>
    <w:rsid w:val="00C14D4B"/>
    <w:rsid w:val="00C154BB"/>
    <w:rsid w:val="00C207FE"/>
    <w:rsid w:val="00C279B5"/>
    <w:rsid w:val="00C27C45"/>
    <w:rsid w:val="00C36312"/>
    <w:rsid w:val="00C3719D"/>
    <w:rsid w:val="00C42A77"/>
    <w:rsid w:val="00C45F10"/>
    <w:rsid w:val="00C47DD2"/>
    <w:rsid w:val="00C54995"/>
    <w:rsid w:val="00C54D41"/>
    <w:rsid w:val="00C60783"/>
    <w:rsid w:val="00C61E96"/>
    <w:rsid w:val="00C64672"/>
    <w:rsid w:val="00C6609B"/>
    <w:rsid w:val="00C678BC"/>
    <w:rsid w:val="00C70697"/>
    <w:rsid w:val="00C72EF4"/>
    <w:rsid w:val="00C75D2F"/>
    <w:rsid w:val="00C767BE"/>
    <w:rsid w:val="00C76E3C"/>
    <w:rsid w:val="00C81568"/>
    <w:rsid w:val="00C82B40"/>
    <w:rsid w:val="00C9027A"/>
    <w:rsid w:val="00C9068E"/>
    <w:rsid w:val="00C914C8"/>
    <w:rsid w:val="00C93C4B"/>
    <w:rsid w:val="00C944AB"/>
    <w:rsid w:val="00C95B40"/>
    <w:rsid w:val="00CA1ED8"/>
    <w:rsid w:val="00CB1F63"/>
    <w:rsid w:val="00CB7170"/>
    <w:rsid w:val="00CC040E"/>
    <w:rsid w:val="00CC111F"/>
    <w:rsid w:val="00CC2011"/>
    <w:rsid w:val="00CC3EA0"/>
    <w:rsid w:val="00CC473A"/>
    <w:rsid w:val="00CC7B45"/>
    <w:rsid w:val="00CD1188"/>
    <w:rsid w:val="00CD2ED1"/>
    <w:rsid w:val="00CD337B"/>
    <w:rsid w:val="00CD4CC1"/>
    <w:rsid w:val="00CE0424"/>
    <w:rsid w:val="00CE6AF9"/>
    <w:rsid w:val="00CE7561"/>
    <w:rsid w:val="00CF1354"/>
    <w:rsid w:val="00CF3B1F"/>
    <w:rsid w:val="00CF3BF6"/>
    <w:rsid w:val="00CF625B"/>
    <w:rsid w:val="00CF687E"/>
    <w:rsid w:val="00D0349B"/>
    <w:rsid w:val="00D10249"/>
    <w:rsid w:val="00D115C3"/>
    <w:rsid w:val="00D11897"/>
    <w:rsid w:val="00D13135"/>
    <w:rsid w:val="00D13E4E"/>
    <w:rsid w:val="00D21D1A"/>
    <w:rsid w:val="00D22E34"/>
    <w:rsid w:val="00D239A7"/>
    <w:rsid w:val="00D23F47"/>
    <w:rsid w:val="00D25AE2"/>
    <w:rsid w:val="00D35CE7"/>
    <w:rsid w:val="00D36E71"/>
    <w:rsid w:val="00D37B92"/>
    <w:rsid w:val="00D37D87"/>
    <w:rsid w:val="00D40B33"/>
    <w:rsid w:val="00D4318F"/>
    <w:rsid w:val="00D438BF"/>
    <w:rsid w:val="00D440F8"/>
    <w:rsid w:val="00D45128"/>
    <w:rsid w:val="00D4515E"/>
    <w:rsid w:val="00D50F97"/>
    <w:rsid w:val="00D546FF"/>
    <w:rsid w:val="00D55AD5"/>
    <w:rsid w:val="00D576CA"/>
    <w:rsid w:val="00D57883"/>
    <w:rsid w:val="00D61AF5"/>
    <w:rsid w:val="00D652B5"/>
    <w:rsid w:val="00D66155"/>
    <w:rsid w:val="00D708B0"/>
    <w:rsid w:val="00D77B1D"/>
    <w:rsid w:val="00D8021F"/>
    <w:rsid w:val="00D80383"/>
    <w:rsid w:val="00D80E6E"/>
    <w:rsid w:val="00D823C6"/>
    <w:rsid w:val="00D83EAF"/>
    <w:rsid w:val="00D86CA3"/>
    <w:rsid w:val="00D871CE"/>
    <w:rsid w:val="00D87CDF"/>
    <w:rsid w:val="00D9102E"/>
    <w:rsid w:val="00D9196D"/>
    <w:rsid w:val="00D92982"/>
    <w:rsid w:val="00DA2E39"/>
    <w:rsid w:val="00DA305E"/>
    <w:rsid w:val="00DA5417"/>
    <w:rsid w:val="00DA56E8"/>
    <w:rsid w:val="00DB0A9F"/>
    <w:rsid w:val="00DB1B9A"/>
    <w:rsid w:val="00DB377D"/>
    <w:rsid w:val="00DB602E"/>
    <w:rsid w:val="00DC0517"/>
    <w:rsid w:val="00DC2D36"/>
    <w:rsid w:val="00DC3A53"/>
    <w:rsid w:val="00DC53EF"/>
    <w:rsid w:val="00DD3EA0"/>
    <w:rsid w:val="00DD54E5"/>
    <w:rsid w:val="00DE5608"/>
    <w:rsid w:val="00DE58D0"/>
    <w:rsid w:val="00DE654F"/>
    <w:rsid w:val="00DE6DA6"/>
    <w:rsid w:val="00DF0B6E"/>
    <w:rsid w:val="00DF15E0"/>
    <w:rsid w:val="00DF37A0"/>
    <w:rsid w:val="00DF6717"/>
    <w:rsid w:val="00DF71A0"/>
    <w:rsid w:val="00E0198B"/>
    <w:rsid w:val="00E020D2"/>
    <w:rsid w:val="00E024F6"/>
    <w:rsid w:val="00E06243"/>
    <w:rsid w:val="00E110E7"/>
    <w:rsid w:val="00E11B20"/>
    <w:rsid w:val="00E144E4"/>
    <w:rsid w:val="00E14D9A"/>
    <w:rsid w:val="00E163BB"/>
    <w:rsid w:val="00E17FA2"/>
    <w:rsid w:val="00E22330"/>
    <w:rsid w:val="00E27F76"/>
    <w:rsid w:val="00E30B5A"/>
    <w:rsid w:val="00E3123D"/>
    <w:rsid w:val="00E31461"/>
    <w:rsid w:val="00E31D43"/>
    <w:rsid w:val="00E32608"/>
    <w:rsid w:val="00E3272D"/>
    <w:rsid w:val="00E34188"/>
    <w:rsid w:val="00E34B6E"/>
    <w:rsid w:val="00E35559"/>
    <w:rsid w:val="00E358F9"/>
    <w:rsid w:val="00E3723A"/>
    <w:rsid w:val="00E37860"/>
    <w:rsid w:val="00E41853"/>
    <w:rsid w:val="00E4427F"/>
    <w:rsid w:val="00E446F1"/>
    <w:rsid w:val="00E462B6"/>
    <w:rsid w:val="00E46886"/>
    <w:rsid w:val="00E47AEF"/>
    <w:rsid w:val="00E53B75"/>
    <w:rsid w:val="00E54E3B"/>
    <w:rsid w:val="00E57565"/>
    <w:rsid w:val="00E63838"/>
    <w:rsid w:val="00E64434"/>
    <w:rsid w:val="00E660D3"/>
    <w:rsid w:val="00E67C51"/>
    <w:rsid w:val="00E72EFC"/>
    <w:rsid w:val="00E758EC"/>
    <w:rsid w:val="00E768A5"/>
    <w:rsid w:val="00E804BA"/>
    <w:rsid w:val="00E80750"/>
    <w:rsid w:val="00E8234C"/>
    <w:rsid w:val="00E83896"/>
    <w:rsid w:val="00E83AA9"/>
    <w:rsid w:val="00E85928"/>
    <w:rsid w:val="00E86933"/>
    <w:rsid w:val="00E86A02"/>
    <w:rsid w:val="00E87822"/>
    <w:rsid w:val="00E90395"/>
    <w:rsid w:val="00E90E49"/>
    <w:rsid w:val="00E917F9"/>
    <w:rsid w:val="00E9291C"/>
    <w:rsid w:val="00E92B06"/>
    <w:rsid w:val="00E93FFE"/>
    <w:rsid w:val="00E94F8A"/>
    <w:rsid w:val="00E966BB"/>
    <w:rsid w:val="00E9690E"/>
    <w:rsid w:val="00E97AF8"/>
    <w:rsid w:val="00EA0A67"/>
    <w:rsid w:val="00EA741E"/>
    <w:rsid w:val="00EA7691"/>
    <w:rsid w:val="00EA7A41"/>
    <w:rsid w:val="00EB077B"/>
    <w:rsid w:val="00EB3731"/>
    <w:rsid w:val="00EB4EA2"/>
    <w:rsid w:val="00EC27C6"/>
    <w:rsid w:val="00EC2AF0"/>
    <w:rsid w:val="00EC4207"/>
    <w:rsid w:val="00EC5653"/>
    <w:rsid w:val="00EC71CE"/>
    <w:rsid w:val="00ED1006"/>
    <w:rsid w:val="00ED4241"/>
    <w:rsid w:val="00ED56EC"/>
    <w:rsid w:val="00EE0BCC"/>
    <w:rsid w:val="00EF18FE"/>
    <w:rsid w:val="00EF5787"/>
    <w:rsid w:val="00EF60D0"/>
    <w:rsid w:val="00EF64FF"/>
    <w:rsid w:val="00F0528D"/>
    <w:rsid w:val="00F06B97"/>
    <w:rsid w:val="00F06C67"/>
    <w:rsid w:val="00F06DFD"/>
    <w:rsid w:val="00F071D1"/>
    <w:rsid w:val="00F07533"/>
    <w:rsid w:val="00F10629"/>
    <w:rsid w:val="00F154BD"/>
    <w:rsid w:val="00F15FA5"/>
    <w:rsid w:val="00F209B7"/>
    <w:rsid w:val="00F2376F"/>
    <w:rsid w:val="00F243D8"/>
    <w:rsid w:val="00F30828"/>
    <w:rsid w:val="00F313D6"/>
    <w:rsid w:val="00F3176D"/>
    <w:rsid w:val="00F32890"/>
    <w:rsid w:val="00F3379D"/>
    <w:rsid w:val="00F346B7"/>
    <w:rsid w:val="00F35B3D"/>
    <w:rsid w:val="00F40F0C"/>
    <w:rsid w:val="00F4445F"/>
    <w:rsid w:val="00F4766C"/>
    <w:rsid w:val="00F507D1"/>
    <w:rsid w:val="00F519CE"/>
    <w:rsid w:val="00F51ADA"/>
    <w:rsid w:val="00F607C5"/>
    <w:rsid w:val="00F60DEA"/>
    <w:rsid w:val="00F6302A"/>
    <w:rsid w:val="00F64C2B"/>
    <w:rsid w:val="00F651BE"/>
    <w:rsid w:val="00F67F53"/>
    <w:rsid w:val="00F703BE"/>
    <w:rsid w:val="00F71F69"/>
    <w:rsid w:val="00F72B72"/>
    <w:rsid w:val="00F72D41"/>
    <w:rsid w:val="00F74BB9"/>
    <w:rsid w:val="00F75582"/>
    <w:rsid w:val="00F76EFA"/>
    <w:rsid w:val="00F804BE"/>
    <w:rsid w:val="00F817CE"/>
    <w:rsid w:val="00F8456C"/>
    <w:rsid w:val="00F859D8"/>
    <w:rsid w:val="00F868F5"/>
    <w:rsid w:val="00F87D9F"/>
    <w:rsid w:val="00F9056A"/>
    <w:rsid w:val="00F90F8D"/>
    <w:rsid w:val="00F92782"/>
    <w:rsid w:val="00F93AA9"/>
    <w:rsid w:val="00F9669B"/>
    <w:rsid w:val="00F96985"/>
    <w:rsid w:val="00F97838"/>
    <w:rsid w:val="00FA2BB3"/>
    <w:rsid w:val="00FA6DF7"/>
    <w:rsid w:val="00FB4C80"/>
    <w:rsid w:val="00FB6A6A"/>
    <w:rsid w:val="00FC1092"/>
    <w:rsid w:val="00FC5AA1"/>
    <w:rsid w:val="00FC7429"/>
    <w:rsid w:val="00FC7783"/>
    <w:rsid w:val="00FD07F6"/>
    <w:rsid w:val="00FD1EC8"/>
    <w:rsid w:val="00FD47ED"/>
    <w:rsid w:val="00FD74DB"/>
    <w:rsid w:val="00FD7660"/>
    <w:rsid w:val="00FE0655"/>
    <w:rsid w:val="00FE2365"/>
    <w:rsid w:val="00FE4C7B"/>
    <w:rsid w:val="00FE7336"/>
    <w:rsid w:val="00FE787C"/>
    <w:rsid w:val="00FF34D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link w:val="B4Char"/>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EB3731"/>
    <w:pPr>
      <w:ind w:left="720"/>
      <w:contextualSpacing/>
    </w:pPr>
  </w:style>
  <w:style w:type="table" w:styleId="TableGrid">
    <w:name w:val="Table Grid"/>
    <w:basedOn w:val="TableNormal"/>
    <w:rsid w:val="00283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D87CDF"/>
    <w:rPr>
      <w:rFonts w:ascii="Arial" w:hAnsi="Arial"/>
      <w:lang w:val="en-GB"/>
    </w:rPr>
  </w:style>
  <w:style w:type="character" w:customStyle="1" w:styleId="B2Char">
    <w:name w:val="B2 Char"/>
    <w:link w:val="B2"/>
    <w:rsid w:val="00D87CDF"/>
    <w:rPr>
      <w:rFonts w:ascii="Arial" w:hAnsi="Arial"/>
      <w:lang w:val="en-GB"/>
    </w:rPr>
  </w:style>
  <w:style w:type="character" w:customStyle="1" w:styleId="B4Char">
    <w:name w:val="B4 Char"/>
    <w:link w:val="B4"/>
    <w:rsid w:val="00D87CDF"/>
    <w:rPr>
      <w:rFonts w:ascii="Arial" w:hAnsi="Arial"/>
      <w:lang w:val="en-GB"/>
    </w:rPr>
  </w:style>
  <w:style w:type="character" w:customStyle="1" w:styleId="TALCar">
    <w:name w:val="TAL Car"/>
    <w:link w:val="TAL"/>
    <w:rsid w:val="00D87CDF"/>
    <w:rPr>
      <w:rFonts w:ascii="Arial" w:hAnsi="Arial"/>
      <w:sz w:val="18"/>
      <w:lang w:val="en-GB"/>
    </w:rPr>
  </w:style>
  <w:style w:type="paragraph" w:customStyle="1" w:styleId="NW">
    <w:name w:val="NW"/>
    <w:basedOn w:val="Normal"/>
    <w:rsid w:val="00E06243"/>
    <w:pPr>
      <w:keepLines/>
      <w:spacing w:after="0"/>
      <w:ind w:left="1135" w:hanging="851"/>
      <w:jc w:val="left"/>
    </w:pPr>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864460">
      <w:bodyDiv w:val="1"/>
      <w:marLeft w:val="0"/>
      <w:marRight w:val="0"/>
      <w:marTop w:val="0"/>
      <w:marBottom w:val="0"/>
      <w:divBdr>
        <w:top w:val="none" w:sz="0" w:space="0" w:color="auto"/>
        <w:left w:val="none" w:sz="0" w:space="0" w:color="auto"/>
        <w:bottom w:val="none" w:sz="0" w:space="0" w:color="auto"/>
        <w:right w:val="none" w:sz="0" w:space="0" w:color="auto"/>
      </w:divBdr>
    </w:div>
    <w:div w:id="527331292">
      <w:bodyDiv w:val="1"/>
      <w:marLeft w:val="0"/>
      <w:marRight w:val="0"/>
      <w:marTop w:val="0"/>
      <w:marBottom w:val="0"/>
      <w:divBdr>
        <w:top w:val="none" w:sz="0" w:space="0" w:color="auto"/>
        <w:left w:val="none" w:sz="0" w:space="0" w:color="auto"/>
        <w:bottom w:val="none" w:sz="0" w:space="0" w:color="auto"/>
        <w:right w:val="none" w:sz="0" w:space="0" w:color="auto"/>
      </w:divBdr>
    </w:div>
    <w:div w:id="641426434">
      <w:bodyDiv w:val="1"/>
      <w:marLeft w:val="0"/>
      <w:marRight w:val="0"/>
      <w:marTop w:val="0"/>
      <w:marBottom w:val="0"/>
      <w:divBdr>
        <w:top w:val="none" w:sz="0" w:space="0" w:color="auto"/>
        <w:left w:val="none" w:sz="0" w:space="0" w:color="auto"/>
        <w:bottom w:val="none" w:sz="0" w:space="0" w:color="auto"/>
        <w:right w:val="none" w:sz="0" w:space="0" w:color="auto"/>
      </w:divBdr>
    </w:div>
    <w:div w:id="776828770">
      <w:bodyDiv w:val="1"/>
      <w:marLeft w:val="0"/>
      <w:marRight w:val="0"/>
      <w:marTop w:val="0"/>
      <w:marBottom w:val="0"/>
      <w:divBdr>
        <w:top w:val="none" w:sz="0" w:space="0" w:color="auto"/>
        <w:left w:val="none" w:sz="0" w:space="0" w:color="auto"/>
        <w:bottom w:val="none" w:sz="0" w:space="0" w:color="auto"/>
        <w:right w:val="none" w:sz="0" w:space="0" w:color="auto"/>
      </w:divBdr>
    </w:div>
    <w:div w:id="185915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4" ma:contentTypeDescription="Ein neues Dokument erstellen." ma:contentTypeScope="" ma:versionID="e3185984757df572d9d307f14ef95bb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8aca4807d8402fbd01ac8cd96c7cbd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BA36FE6D-8E39-45C4-AC4E-5550CD44E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157481B-E2C6-4C4E-97B6-DD9FE8860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25</TotalTime>
  <Pages>5</Pages>
  <Words>1724</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11528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Ricardo Blasco</cp:lastModifiedBy>
  <cp:revision>128</cp:revision>
  <cp:lastPrinted>2008-01-31T16:09:00Z</cp:lastPrinted>
  <dcterms:created xsi:type="dcterms:W3CDTF">2018-03-23T08:25:00Z</dcterms:created>
  <dcterms:modified xsi:type="dcterms:W3CDTF">2018-04-06T12:49:00Z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ac6162ab-56b2-43f9-a775-5e52620dc4ae</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0x0101001ACB0BFAF4B3DB478B6E162A113003C9</vt:lpwstr>
  </property>
  <property fmtid="{D5CDD505-2E9C-101B-9397-08002B2CF9AE}" pid="16" name="URL">
    <vt:lpwstr/>
  </property>
  <property fmtid="{D5CDD505-2E9C-101B-9397-08002B2CF9AE}" pid="17" name="Comments">
    <vt:lpwstr/>
  </property>
</Properties>
</file>